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BD70E" w14:textId="77777777" w:rsidR="003A3A46" w:rsidRPr="00CC6E6A" w:rsidRDefault="003A3A46" w:rsidP="001A07C1">
      <w:pPr>
        <w:pStyle w:val="NoSpacing"/>
        <w:spacing w:after="120"/>
        <w:jc w:val="center"/>
        <w:rPr>
          <w:rFonts w:ascii="Book Antiqua" w:hAnsi="Book Antiqua" w:cs="Times New Roman"/>
          <w:sz w:val="22"/>
          <w:szCs w:val="22"/>
        </w:rPr>
      </w:pPr>
      <w:r w:rsidRPr="00CC6E6A">
        <w:rPr>
          <w:rFonts w:ascii="Book Antiqua" w:hAnsi="Book Antiqua" w:cs="Times New Roman"/>
          <w:noProof/>
          <w:sz w:val="22"/>
          <w:szCs w:val="22"/>
        </w:rPr>
        <w:drawing>
          <wp:inline distT="0" distB="0" distL="0" distR="0" wp14:anchorId="2464E458" wp14:editId="4D98C8AD">
            <wp:extent cx="2352675" cy="9048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904875"/>
                    </a:xfrm>
                    <a:prstGeom prst="rect">
                      <a:avLst/>
                    </a:prstGeom>
                    <a:noFill/>
                    <a:ln>
                      <a:noFill/>
                    </a:ln>
                  </pic:spPr>
                </pic:pic>
              </a:graphicData>
            </a:graphic>
          </wp:inline>
        </w:drawing>
      </w:r>
    </w:p>
    <w:p w14:paraId="29961738" w14:textId="77777777" w:rsidR="006D10D0" w:rsidRPr="00CC6E6A" w:rsidRDefault="006D10D0" w:rsidP="003A3A46">
      <w:pPr>
        <w:pStyle w:val="NoSpacing"/>
        <w:jc w:val="center"/>
        <w:rPr>
          <w:rFonts w:ascii="Book Antiqua" w:hAnsi="Book Antiqua" w:cs="Times New Roman"/>
          <w:b/>
          <w:bCs/>
          <w:sz w:val="22"/>
          <w:szCs w:val="22"/>
        </w:rPr>
      </w:pPr>
    </w:p>
    <w:p w14:paraId="7E057EBB" w14:textId="1A7FE4DB" w:rsidR="004A3956" w:rsidRPr="00CC6E6A" w:rsidRDefault="00386C67" w:rsidP="00C33125">
      <w:pPr>
        <w:pStyle w:val="NoSpacing"/>
        <w:jc w:val="center"/>
        <w:rPr>
          <w:rFonts w:ascii="Book Antiqua" w:hAnsi="Book Antiqua" w:cs="Times New Roman"/>
          <w:b/>
          <w:bCs/>
          <w:sz w:val="22"/>
          <w:szCs w:val="22"/>
        </w:rPr>
      </w:pPr>
      <w:r w:rsidRPr="00CC6E6A">
        <w:rPr>
          <w:rFonts w:ascii="Book Antiqua" w:hAnsi="Book Antiqua" w:cs="Times New Roman"/>
          <w:b/>
          <w:bCs/>
          <w:sz w:val="22"/>
          <w:szCs w:val="22"/>
        </w:rPr>
        <w:t xml:space="preserve">U.S. DEPARTMENT OF LABOR </w:t>
      </w:r>
      <w:r w:rsidR="00C33E17" w:rsidRPr="00CC6E6A">
        <w:rPr>
          <w:rFonts w:ascii="Book Antiqua" w:hAnsi="Book Antiqua" w:cs="Times New Roman"/>
          <w:b/>
          <w:bCs/>
          <w:sz w:val="22"/>
          <w:szCs w:val="22"/>
        </w:rPr>
        <w:t>UPDATE</w:t>
      </w:r>
      <w:r w:rsidR="007F4677">
        <w:rPr>
          <w:rFonts w:ascii="Book Antiqua" w:hAnsi="Book Antiqua" w:cs="Times New Roman"/>
          <w:b/>
          <w:bCs/>
          <w:sz w:val="22"/>
          <w:szCs w:val="22"/>
        </w:rPr>
        <w:t>S</w:t>
      </w:r>
      <w:r w:rsidR="009D7CA0" w:rsidRPr="00CC6E6A">
        <w:rPr>
          <w:rFonts w:ascii="Book Antiqua" w:hAnsi="Book Antiqua" w:cs="Times New Roman"/>
          <w:b/>
          <w:bCs/>
          <w:sz w:val="22"/>
          <w:szCs w:val="22"/>
        </w:rPr>
        <w:t xml:space="preserve"> OVERTIME RULES</w:t>
      </w:r>
    </w:p>
    <w:p w14:paraId="104A8273" w14:textId="77777777" w:rsidR="00C33125" w:rsidRPr="00CC6E6A" w:rsidRDefault="00C33125" w:rsidP="00C33125">
      <w:pPr>
        <w:pStyle w:val="NoSpacing"/>
        <w:jc w:val="center"/>
        <w:rPr>
          <w:rFonts w:ascii="Book Antiqua" w:hAnsi="Book Antiqua" w:cs="Times New Roman"/>
          <w:b/>
          <w:bCs/>
          <w:sz w:val="22"/>
          <w:szCs w:val="22"/>
        </w:rPr>
      </w:pPr>
    </w:p>
    <w:p w14:paraId="157B39D1" w14:textId="40DFA5B1" w:rsidR="009D7CA0" w:rsidRPr="00CC6E6A" w:rsidRDefault="00C33125" w:rsidP="00C33125">
      <w:pPr>
        <w:pStyle w:val="NoSpacing"/>
        <w:rPr>
          <w:rFonts w:ascii="Book Antiqua" w:hAnsi="Book Antiqua" w:cs="Times New Roman"/>
          <w:sz w:val="22"/>
          <w:szCs w:val="22"/>
        </w:rPr>
      </w:pPr>
      <w:r w:rsidRPr="00CC6E6A">
        <w:rPr>
          <w:rFonts w:ascii="Book Antiqua" w:hAnsi="Book Antiqua" w:cs="Times New Roman"/>
          <w:sz w:val="22"/>
          <w:szCs w:val="22"/>
        </w:rPr>
        <w:t>On</w:t>
      </w:r>
      <w:r w:rsidR="00C44141" w:rsidRPr="00CC6E6A">
        <w:rPr>
          <w:rFonts w:ascii="Book Antiqua" w:hAnsi="Book Antiqua" w:cs="Times New Roman"/>
          <w:sz w:val="22"/>
          <w:szCs w:val="22"/>
        </w:rPr>
        <w:t xml:space="preserve"> </w:t>
      </w:r>
      <w:r w:rsidR="007F4677">
        <w:rPr>
          <w:rFonts w:ascii="Book Antiqua" w:hAnsi="Book Antiqua" w:cs="Times New Roman"/>
          <w:sz w:val="22"/>
          <w:szCs w:val="22"/>
        </w:rPr>
        <w:t>April 23, 2024,</w:t>
      </w:r>
      <w:r w:rsidRPr="00CC6E6A">
        <w:rPr>
          <w:rFonts w:ascii="Book Antiqua" w:hAnsi="Book Antiqua" w:cs="Times New Roman"/>
          <w:sz w:val="22"/>
          <w:szCs w:val="22"/>
        </w:rPr>
        <w:t xml:space="preserve"> the Department of Labor (DOL) issued </w:t>
      </w:r>
      <w:r w:rsidRPr="00CC6E6A">
        <w:rPr>
          <w:rFonts w:ascii="Book Antiqua" w:hAnsi="Book Antiqua"/>
          <w:sz w:val="22"/>
          <w:szCs w:val="22"/>
        </w:rPr>
        <w:t>a</w:t>
      </w:r>
      <w:r w:rsidR="00C44141" w:rsidRPr="00CC6E6A">
        <w:rPr>
          <w:rFonts w:ascii="Book Antiqua" w:hAnsi="Book Antiqua"/>
          <w:sz w:val="22"/>
          <w:szCs w:val="22"/>
        </w:rPr>
        <w:t xml:space="preserve"> </w:t>
      </w:r>
      <w:r w:rsidR="00B249D0">
        <w:rPr>
          <w:rFonts w:ascii="Book Antiqua" w:hAnsi="Book Antiqua"/>
          <w:sz w:val="22"/>
          <w:szCs w:val="22"/>
        </w:rPr>
        <w:t>final</w:t>
      </w:r>
      <w:r w:rsidR="00B249D0" w:rsidRPr="00CC6E6A">
        <w:rPr>
          <w:rFonts w:ascii="Book Antiqua" w:hAnsi="Book Antiqua"/>
          <w:sz w:val="22"/>
          <w:szCs w:val="22"/>
        </w:rPr>
        <w:t xml:space="preserve"> </w:t>
      </w:r>
      <w:r w:rsidRPr="00CC6E6A">
        <w:rPr>
          <w:rFonts w:ascii="Book Antiqua" w:hAnsi="Book Antiqua"/>
          <w:sz w:val="22"/>
          <w:szCs w:val="22"/>
        </w:rPr>
        <w:t>rule</w:t>
      </w:r>
      <w:r w:rsidR="00D45B40" w:rsidRPr="00CC6E6A">
        <w:rPr>
          <w:rFonts w:ascii="Book Antiqua" w:hAnsi="Book Antiqua"/>
          <w:sz w:val="22"/>
          <w:szCs w:val="22"/>
        </w:rPr>
        <w:t xml:space="preserve"> updating </w:t>
      </w:r>
      <w:r w:rsidRPr="00CC6E6A">
        <w:rPr>
          <w:rFonts w:ascii="Book Antiqua" w:hAnsi="Book Antiqua"/>
          <w:sz w:val="22"/>
          <w:szCs w:val="22"/>
        </w:rPr>
        <w:t xml:space="preserve">the salary and compensation levels needed for workers to be exempt </w:t>
      </w:r>
      <w:r w:rsidR="00065872" w:rsidRPr="00CC6E6A">
        <w:rPr>
          <w:rFonts w:ascii="Book Antiqua" w:hAnsi="Book Antiqua"/>
          <w:sz w:val="22"/>
          <w:szCs w:val="22"/>
        </w:rPr>
        <w:t xml:space="preserve">from overtime </w:t>
      </w:r>
      <w:r w:rsidR="0037051E" w:rsidRPr="00CC6E6A">
        <w:rPr>
          <w:rFonts w:ascii="Book Antiqua" w:hAnsi="Book Antiqua"/>
          <w:sz w:val="22"/>
          <w:szCs w:val="22"/>
        </w:rPr>
        <w:t>eligibility</w:t>
      </w:r>
      <w:r w:rsidR="00065872" w:rsidRPr="00CC6E6A">
        <w:rPr>
          <w:rFonts w:ascii="Book Antiqua" w:hAnsi="Book Antiqua"/>
          <w:sz w:val="22"/>
          <w:szCs w:val="22"/>
        </w:rPr>
        <w:t xml:space="preserve"> </w:t>
      </w:r>
      <w:r w:rsidR="00B834DD" w:rsidRPr="00CC6E6A">
        <w:rPr>
          <w:rFonts w:ascii="Book Antiqua" w:hAnsi="Book Antiqua"/>
          <w:sz w:val="22"/>
          <w:szCs w:val="22"/>
        </w:rPr>
        <w:t>which</w:t>
      </w:r>
      <w:r w:rsidR="002A797F">
        <w:rPr>
          <w:rFonts w:ascii="Book Antiqua" w:hAnsi="Book Antiqua"/>
          <w:sz w:val="22"/>
          <w:szCs w:val="22"/>
        </w:rPr>
        <w:t xml:space="preserve"> would take effect on July 1, 2024. </w:t>
      </w:r>
      <w:r w:rsidR="00C2519E">
        <w:rPr>
          <w:rFonts w:ascii="Book Antiqua" w:hAnsi="Book Antiqua"/>
          <w:sz w:val="22"/>
          <w:szCs w:val="22"/>
        </w:rPr>
        <w:t xml:space="preserve"> </w:t>
      </w:r>
      <w:r w:rsidR="00D75E2D" w:rsidRPr="00CC6E6A">
        <w:rPr>
          <w:rFonts w:ascii="Book Antiqua" w:hAnsi="Book Antiqua"/>
          <w:sz w:val="22"/>
          <w:szCs w:val="22"/>
        </w:rPr>
        <w:t xml:space="preserve">The compensation levels were last updated </w:t>
      </w:r>
      <w:r w:rsidR="0066464D" w:rsidRPr="00CC6E6A">
        <w:rPr>
          <w:rFonts w:ascii="Book Antiqua" w:hAnsi="Book Antiqua"/>
          <w:sz w:val="22"/>
          <w:szCs w:val="22"/>
        </w:rPr>
        <w:t>on January 1, 2020. Since then, salaried workers in the U.S. economy have experienced a rapid growth in nominal wages, according to DOL.</w:t>
      </w:r>
      <w:r w:rsidRPr="00CC6E6A">
        <w:rPr>
          <w:rFonts w:ascii="Book Antiqua" w:hAnsi="Book Antiqua"/>
          <w:sz w:val="22"/>
          <w:szCs w:val="22"/>
        </w:rPr>
        <w:t xml:space="preserve"> </w:t>
      </w:r>
      <w:r w:rsidR="00D45B40" w:rsidRPr="00CC6E6A">
        <w:rPr>
          <w:rFonts w:ascii="Book Antiqua" w:hAnsi="Book Antiqua"/>
          <w:sz w:val="22"/>
          <w:szCs w:val="22"/>
        </w:rPr>
        <w:t>The</w:t>
      </w:r>
      <w:r w:rsidR="00725E41" w:rsidRPr="00CC6E6A">
        <w:rPr>
          <w:rFonts w:ascii="Book Antiqua" w:hAnsi="Book Antiqua"/>
          <w:sz w:val="22"/>
          <w:szCs w:val="22"/>
        </w:rPr>
        <w:t xml:space="preserve"> </w:t>
      </w:r>
      <w:hyperlink r:id="rId9" w:history="1">
        <w:r w:rsidR="009F56D5" w:rsidRPr="000274C0">
          <w:rPr>
            <w:rStyle w:val="Hyperlink"/>
            <w:rFonts w:ascii="Book Antiqua" w:hAnsi="Book Antiqua"/>
            <w:sz w:val="22"/>
            <w:szCs w:val="22"/>
          </w:rPr>
          <w:t>final rule</w:t>
        </w:r>
      </w:hyperlink>
      <w:r w:rsidR="009F56D5">
        <w:rPr>
          <w:rFonts w:ascii="Book Antiqua" w:hAnsi="Book Antiqua"/>
          <w:sz w:val="22"/>
          <w:szCs w:val="22"/>
        </w:rPr>
        <w:t xml:space="preserve"> i</w:t>
      </w:r>
      <w:r w:rsidR="00D45B40" w:rsidRPr="00CC6E6A">
        <w:rPr>
          <w:rFonts w:ascii="Book Antiqua" w:hAnsi="Book Antiqua"/>
          <w:sz w:val="22"/>
          <w:szCs w:val="22"/>
        </w:rPr>
        <w:t>nclu</w:t>
      </w:r>
      <w:r w:rsidR="004B307C" w:rsidRPr="00CC6E6A">
        <w:rPr>
          <w:rFonts w:ascii="Book Antiqua" w:hAnsi="Book Antiqua"/>
          <w:sz w:val="22"/>
          <w:szCs w:val="22"/>
        </w:rPr>
        <w:t>des the following major changes:</w:t>
      </w:r>
    </w:p>
    <w:p w14:paraId="3365B7B5" w14:textId="77777777" w:rsidR="009D7CA0" w:rsidRPr="00CC6E6A" w:rsidRDefault="009D7CA0" w:rsidP="00C33125">
      <w:pPr>
        <w:pStyle w:val="NoSpacing"/>
        <w:rPr>
          <w:rFonts w:ascii="Book Antiqua" w:hAnsi="Book Antiqua"/>
          <w:sz w:val="22"/>
          <w:szCs w:val="22"/>
        </w:rPr>
      </w:pPr>
    </w:p>
    <w:p w14:paraId="578F3823" w14:textId="007AC8D8" w:rsidR="00645E84" w:rsidRPr="00627C8C" w:rsidRDefault="00645E84" w:rsidP="00F32632">
      <w:pPr>
        <w:pStyle w:val="NoSpacing"/>
        <w:numPr>
          <w:ilvl w:val="0"/>
          <w:numId w:val="12"/>
        </w:numPr>
        <w:rPr>
          <w:rFonts w:ascii="Book Antiqua" w:hAnsi="Book Antiqua" w:cs="Times New Roman"/>
          <w:b/>
          <w:bCs/>
          <w:sz w:val="22"/>
          <w:szCs w:val="22"/>
        </w:rPr>
      </w:pPr>
      <w:r>
        <w:rPr>
          <w:rFonts w:ascii="Book Antiqua" w:hAnsi="Book Antiqua" w:cs="Times New Roman"/>
          <w:sz w:val="22"/>
          <w:szCs w:val="22"/>
        </w:rPr>
        <w:t xml:space="preserve">Starting July 1, 2024, </w:t>
      </w:r>
      <w:r>
        <w:rPr>
          <w:rFonts w:ascii="Book Antiqua" w:hAnsi="Book Antiqua"/>
          <w:sz w:val="22"/>
          <w:szCs w:val="22"/>
        </w:rPr>
        <w:t>using the prior methodology</w:t>
      </w:r>
      <w:r w:rsidR="00C83335">
        <w:rPr>
          <w:rFonts w:ascii="Book Antiqua" w:hAnsi="Book Antiqua"/>
          <w:sz w:val="22"/>
          <w:szCs w:val="22"/>
        </w:rPr>
        <w:t xml:space="preserve"> finalized in the 2019 regulations, the standard salary level will</w:t>
      </w:r>
      <w:r>
        <w:rPr>
          <w:rFonts w:ascii="Book Antiqua" w:hAnsi="Book Antiqua"/>
          <w:sz w:val="22"/>
          <w:szCs w:val="22"/>
        </w:rPr>
        <w:t xml:space="preserve"> be set at a $844 per week ($</w:t>
      </w:r>
      <w:r w:rsidR="00466826">
        <w:rPr>
          <w:rFonts w:ascii="Book Antiqua" w:hAnsi="Book Antiqua"/>
          <w:sz w:val="22"/>
          <w:szCs w:val="22"/>
        </w:rPr>
        <w:t>43,888</w:t>
      </w:r>
      <w:r>
        <w:rPr>
          <w:rFonts w:ascii="Book Antiqua" w:hAnsi="Book Antiqua"/>
          <w:sz w:val="22"/>
          <w:szCs w:val="22"/>
        </w:rPr>
        <w:t xml:space="preserve"> annually), impacting a total of 1.8 million employees initially</w:t>
      </w:r>
      <w:r w:rsidR="00EF6AF8" w:rsidRPr="00CC6E6A">
        <w:rPr>
          <w:rFonts w:ascii="Book Antiqua" w:hAnsi="Book Antiqua"/>
          <w:sz w:val="22"/>
          <w:szCs w:val="22"/>
        </w:rPr>
        <w:t>—this would represent a substantial increase from the current levels of $684 per week ($35,568 annually for a full year worker) up from $455 per week ($23,660 annually);</w:t>
      </w:r>
    </w:p>
    <w:p w14:paraId="604557BE" w14:textId="69D26D2B" w:rsidR="009D7CA0" w:rsidRPr="00CC6E6A" w:rsidRDefault="000A1F60" w:rsidP="00F32632">
      <w:pPr>
        <w:pStyle w:val="NoSpacing"/>
        <w:numPr>
          <w:ilvl w:val="0"/>
          <w:numId w:val="12"/>
        </w:numPr>
        <w:rPr>
          <w:rFonts w:ascii="Book Antiqua" w:hAnsi="Book Antiqua" w:cs="Times New Roman"/>
          <w:b/>
          <w:bCs/>
          <w:sz w:val="22"/>
          <w:szCs w:val="22"/>
        </w:rPr>
      </w:pPr>
      <w:r>
        <w:rPr>
          <w:rFonts w:ascii="Book Antiqua" w:hAnsi="Book Antiqua"/>
          <w:sz w:val="22"/>
          <w:szCs w:val="22"/>
        </w:rPr>
        <w:t>Starting J</w:t>
      </w:r>
      <w:r w:rsidR="005F7CB6">
        <w:rPr>
          <w:rFonts w:ascii="Book Antiqua" w:hAnsi="Book Antiqua"/>
          <w:sz w:val="22"/>
          <w:szCs w:val="22"/>
        </w:rPr>
        <w:t>anuary</w:t>
      </w:r>
      <w:r>
        <w:rPr>
          <w:rFonts w:ascii="Book Antiqua" w:hAnsi="Book Antiqua"/>
          <w:sz w:val="22"/>
          <w:szCs w:val="22"/>
        </w:rPr>
        <w:t xml:space="preserve"> 1, 2025, </w:t>
      </w:r>
      <w:r w:rsidR="002A797F">
        <w:rPr>
          <w:rFonts w:ascii="Book Antiqua" w:hAnsi="Book Antiqua"/>
          <w:sz w:val="22"/>
          <w:szCs w:val="22"/>
        </w:rPr>
        <w:t xml:space="preserve">using the updated methodology finalized in these final regulations, </w:t>
      </w:r>
      <w:r w:rsidR="00F45F77">
        <w:rPr>
          <w:rFonts w:ascii="Book Antiqua" w:hAnsi="Book Antiqua"/>
          <w:sz w:val="22"/>
          <w:szCs w:val="22"/>
        </w:rPr>
        <w:t xml:space="preserve">the </w:t>
      </w:r>
      <w:r w:rsidR="00F45F77" w:rsidRPr="00CC6E6A">
        <w:rPr>
          <w:rFonts w:ascii="Book Antiqua" w:hAnsi="Book Antiqua"/>
          <w:sz w:val="22"/>
          <w:szCs w:val="22"/>
        </w:rPr>
        <w:t>standard</w:t>
      </w:r>
      <w:r w:rsidR="00927F09" w:rsidRPr="00CC6E6A">
        <w:rPr>
          <w:rFonts w:ascii="Book Antiqua" w:hAnsi="Book Antiqua"/>
          <w:sz w:val="22"/>
          <w:szCs w:val="22"/>
        </w:rPr>
        <w:t xml:space="preserve"> salary level </w:t>
      </w:r>
      <w:r w:rsidR="00EF6AF8">
        <w:rPr>
          <w:rFonts w:ascii="Book Antiqua" w:hAnsi="Book Antiqua"/>
          <w:sz w:val="22"/>
          <w:szCs w:val="22"/>
        </w:rPr>
        <w:t>will use</w:t>
      </w:r>
      <w:r w:rsidR="00927F09" w:rsidRPr="00CC6E6A">
        <w:rPr>
          <w:rFonts w:ascii="Book Antiqua" w:hAnsi="Book Antiqua"/>
          <w:sz w:val="22"/>
          <w:szCs w:val="22"/>
        </w:rPr>
        <w:t xml:space="preserve"> the 35th percentile of earnings of full-time salaried workers in the lowest-wage Census Region (currently the South), which </w:t>
      </w:r>
      <w:r w:rsidR="003F1563" w:rsidRPr="00CC6E6A">
        <w:rPr>
          <w:rFonts w:ascii="Book Antiqua" w:hAnsi="Book Antiqua"/>
          <w:sz w:val="22"/>
          <w:szCs w:val="22"/>
        </w:rPr>
        <w:t>w</w:t>
      </w:r>
      <w:r w:rsidR="003F1563">
        <w:rPr>
          <w:rFonts w:ascii="Book Antiqua" w:hAnsi="Book Antiqua"/>
          <w:sz w:val="22"/>
          <w:szCs w:val="22"/>
        </w:rPr>
        <w:t xml:space="preserve">ill </w:t>
      </w:r>
      <w:r w:rsidR="00927F09" w:rsidRPr="00CC6E6A">
        <w:rPr>
          <w:rFonts w:ascii="Book Antiqua" w:hAnsi="Book Antiqua"/>
          <w:sz w:val="22"/>
          <w:szCs w:val="22"/>
        </w:rPr>
        <w:t xml:space="preserve">be </w:t>
      </w:r>
      <w:r w:rsidR="00EF6AF8">
        <w:rPr>
          <w:rFonts w:ascii="Book Antiqua" w:hAnsi="Book Antiqua"/>
          <w:sz w:val="22"/>
          <w:szCs w:val="22"/>
        </w:rPr>
        <w:t xml:space="preserve">set at </w:t>
      </w:r>
      <w:r w:rsidR="00927F09" w:rsidRPr="00CC6E6A">
        <w:rPr>
          <w:rFonts w:ascii="Book Antiqua" w:hAnsi="Book Antiqua"/>
          <w:sz w:val="22"/>
          <w:szCs w:val="22"/>
        </w:rPr>
        <w:t>$1,</w:t>
      </w:r>
      <w:r w:rsidR="002C2601">
        <w:rPr>
          <w:rFonts w:ascii="Book Antiqua" w:hAnsi="Book Antiqua"/>
          <w:sz w:val="22"/>
          <w:szCs w:val="22"/>
        </w:rPr>
        <w:t>128</w:t>
      </w:r>
      <w:r w:rsidR="00927F09" w:rsidRPr="00CC6E6A">
        <w:rPr>
          <w:rFonts w:ascii="Book Antiqua" w:hAnsi="Book Antiqua"/>
          <w:sz w:val="22"/>
          <w:szCs w:val="22"/>
        </w:rPr>
        <w:t xml:space="preserve"> per week ($5</w:t>
      </w:r>
      <w:r w:rsidR="002C2601">
        <w:rPr>
          <w:rFonts w:ascii="Book Antiqua" w:hAnsi="Book Antiqua"/>
          <w:sz w:val="22"/>
          <w:szCs w:val="22"/>
        </w:rPr>
        <w:t>8</w:t>
      </w:r>
      <w:r w:rsidR="00927F09" w:rsidRPr="00CC6E6A">
        <w:rPr>
          <w:rFonts w:ascii="Book Antiqua" w:hAnsi="Book Antiqua"/>
          <w:sz w:val="22"/>
          <w:szCs w:val="22"/>
        </w:rPr>
        <w:t>,</w:t>
      </w:r>
      <w:r w:rsidR="002C2601">
        <w:rPr>
          <w:rFonts w:ascii="Book Antiqua" w:hAnsi="Book Antiqua"/>
          <w:sz w:val="22"/>
          <w:szCs w:val="22"/>
        </w:rPr>
        <w:t>656</w:t>
      </w:r>
      <w:r w:rsidR="00927F09" w:rsidRPr="00CC6E6A">
        <w:rPr>
          <w:rFonts w:ascii="Book Antiqua" w:hAnsi="Book Antiqua"/>
          <w:sz w:val="22"/>
          <w:szCs w:val="22"/>
        </w:rPr>
        <w:t xml:space="preserve"> annually) based on current data</w:t>
      </w:r>
      <w:r w:rsidR="00B829F7">
        <w:rPr>
          <w:rFonts w:ascii="Book Antiqua" w:hAnsi="Book Antiqua"/>
          <w:sz w:val="22"/>
          <w:szCs w:val="22"/>
        </w:rPr>
        <w:t xml:space="preserve"> (CY 2023)</w:t>
      </w:r>
      <w:r w:rsidR="00EF6AF8">
        <w:rPr>
          <w:rFonts w:ascii="Book Antiqua" w:hAnsi="Book Antiqua"/>
          <w:sz w:val="22"/>
          <w:szCs w:val="22"/>
        </w:rPr>
        <w:t>;</w:t>
      </w:r>
    </w:p>
    <w:p w14:paraId="47CCD975" w14:textId="77777777" w:rsidR="00627C8C" w:rsidRDefault="000A1F60" w:rsidP="000938BC">
      <w:pPr>
        <w:pStyle w:val="NoSpacing"/>
        <w:numPr>
          <w:ilvl w:val="0"/>
          <w:numId w:val="12"/>
        </w:numPr>
        <w:rPr>
          <w:rFonts w:ascii="Book Antiqua" w:hAnsi="Book Antiqua" w:cs="Times New Roman"/>
          <w:b/>
          <w:bCs/>
          <w:sz w:val="22"/>
          <w:szCs w:val="22"/>
        </w:rPr>
      </w:pPr>
      <w:r>
        <w:rPr>
          <w:rFonts w:ascii="Book Antiqua" w:hAnsi="Book Antiqua"/>
          <w:sz w:val="22"/>
          <w:szCs w:val="22"/>
        </w:rPr>
        <w:t>Starting J</w:t>
      </w:r>
      <w:r w:rsidR="005F7CB6">
        <w:rPr>
          <w:rFonts w:ascii="Book Antiqua" w:hAnsi="Book Antiqua"/>
          <w:sz w:val="22"/>
          <w:szCs w:val="22"/>
        </w:rPr>
        <w:t>anuary</w:t>
      </w:r>
      <w:r>
        <w:rPr>
          <w:rFonts w:ascii="Book Antiqua" w:hAnsi="Book Antiqua"/>
          <w:sz w:val="22"/>
          <w:szCs w:val="22"/>
        </w:rPr>
        <w:t xml:space="preserve"> 1, 2025, </w:t>
      </w:r>
      <w:r w:rsidR="00C33125" w:rsidRPr="00CC6E6A">
        <w:rPr>
          <w:rFonts w:ascii="Book Antiqua" w:hAnsi="Book Antiqua"/>
          <w:sz w:val="22"/>
          <w:szCs w:val="22"/>
        </w:rPr>
        <w:t xml:space="preserve">increase the total annual compensation requirement needed to exempt highly compensated employees to </w:t>
      </w:r>
      <w:r w:rsidR="007D5361" w:rsidRPr="00CC6E6A">
        <w:rPr>
          <w:rFonts w:ascii="Book Antiqua" w:hAnsi="Book Antiqua"/>
          <w:sz w:val="22"/>
          <w:szCs w:val="22"/>
        </w:rPr>
        <w:t>the annualized weekly earnings of the 85</w:t>
      </w:r>
      <w:r w:rsidR="007D5361" w:rsidRPr="00627C8C">
        <w:rPr>
          <w:rFonts w:ascii="Book Antiqua" w:hAnsi="Book Antiqua"/>
          <w:sz w:val="22"/>
          <w:szCs w:val="22"/>
          <w:vertAlign w:val="superscript"/>
        </w:rPr>
        <w:t>th</w:t>
      </w:r>
      <w:r w:rsidR="007D5361" w:rsidRPr="00CC6E6A">
        <w:rPr>
          <w:rFonts w:ascii="Book Antiqua" w:hAnsi="Book Antiqua"/>
          <w:sz w:val="22"/>
          <w:szCs w:val="22"/>
        </w:rPr>
        <w:t xml:space="preserve"> percentile of full-time salaried workers nationally, which w</w:t>
      </w:r>
      <w:r w:rsidR="00E95BB1">
        <w:rPr>
          <w:rFonts w:ascii="Book Antiqua" w:hAnsi="Book Antiqua"/>
          <w:sz w:val="22"/>
          <w:szCs w:val="22"/>
        </w:rPr>
        <w:t>ill</w:t>
      </w:r>
      <w:r w:rsidR="007D5361" w:rsidRPr="00CC6E6A">
        <w:rPr>
          <w:rFonts w:ascii="Book Antiqua" w:hAnsi="Book Antiqua"/>
          <w:sz w:val="22"/>
          <w:szCs w:val="22"/>
        </w:rPr>
        <w:t xml:space="preserve"> be $1</w:t>
      </w:r>
      <w:r w:rsidR="00545104">
        <w:rPr>
          <w:rFonts w:ascii="Book Antiqua" w:hAnsi="Book Antiqua"/>
          <w:sz w:val="22"/>
          <w:szCs w:val="22"/>
        </w:rPr>
        <w:t>51,164</w:t>
      </w:r>
      <w:r w:rsidR="007D5361" w:rsidRPr="00CC6E6A">
        <w:rPr>
          <w:rFonts w:ascii="Book Antiqua" w:hAnsi="Book Antiqua"/>
          <w:sz w:val="22"/>
          <w:szCs w:val="22"/>
        </w:rPr>
        <w:t xml:space="preserve"> per year based on current </w:t>
      </w:r>
      <w:r w:rsidR="007058F7">
        <w:rPr>
          <w:rFonts w:ascii="Book Antiqua" w:hAnsi="Book Antiqua"/>
          <w:sz w:val="22"/>
          <w:szCs w:val="22"/>
        </w:rPr>
        <w:t xml:space="preserve">earnings </w:t>
      </w:r>
      <w:r w:rsidR="007D5361" w:rsidRPr="00CC6E6A">
        <w:rPr>
          <w:rFonts w:ascii="Book Antiqua" w:hAnsi="Book Antiqua"/>
          <w:sz w:val="22"/>
          <w:szCs w:val="22"/>
        </w:rPr>
        <w:t>data</w:t>
      </w:r>
      <w:r w:rsidR="0095293E" w:rsidRPr="00CC6E6A">
        <w:rPr>
          <w:rFonts w:ascii="Book Antiqua" w:hAnsi="Book Antiqua"/>
          <w:sz w:val="22"/>
          <w:szCs w:val="22"/>
        </w:rPr>
        <w:t>—</w:t>
      </w:r>
      <w:r w:rsidR="007D5361" w:rsidRPr="00CC6E6A">
        <w:rPr>
          <w:rFonts w:ascii="Book Antiqua" w:hAnsi="Book Antiqua"/>
          <w:sz w:val="22"/>
          <w:szCs w:val="22"/>
        </w:rPr>
        <w:t>this represent</w:t>
      </w:r>
      <w:r w:rsidR="00E95BB1">
        <w:rPr>
          <w:rFonts w:ascii="Book Antiqua" w:hAnsi="Book Antiqua"/>
          <w:sz w:val="22"/>
          <w:szCs w:val="22"/>
        </w:rPr>
        <w:t>s</w:t>
      </w:r>
      <w:r w:rsidR="007D5361" w:rsidRPr="00CC6E6A">
        <w:rPr>
          <w:rFonts w:ascii="Book Antiqua" w:hAnsi="Book Antiqua"/>
          <w:sz w:val="22"/>
          <w:szCs w:val="22"/>
        </w:rPr>
        <w:t xml:space="preserve"> a substantial increase from </w:t>
      </w:r>
      <w:r w:rsidR="00462861" w:rsidRPr="00CC6E6A">
        <w:rPr>
          <w:rFonts w:ascii="Book Antiqua" w:hAnsi="Book Antiqua"/>
          <w:sz w:val="22"/>
          <w:szCs w:val="22"/>
        </w:rPr>
        <w:t xml:space="preserve">the current levels of </w:t>
      </w:r>
      <w:r w:rsidR="00DF022B" w:rsidRPr="00CC6E6A">
        <w:rPr>
          <w:rFonts w:ascii="Book Antiqua" w:hAnsi="Book Antiqua"/>
          <w:sz w:val="22"/>
          <w:szCs w:val="22"/>
        </w:rPr>
        <w:t>$107,432 annually</w:t>
      </w:r>
      <w:r w:rsidR="00C33125" w:rsidRPr="00CC6E6A">
        <w:rPr>
          <w:rFonts w:ascii="Book Antiqua" w:hAnsi="Book Antiqua"/>
          <w:sz w:val="22"/>
          <w:szCs w:val="22"/>
        </w:rPr>
        <w:t xml:space="preserve">; </w:t>
      </w:r>
      <w:r w:rsidR="008574F7">
        <w:rPr>
          <w:rFonts w:ascii="Book Antiqua" w:hAnsi="Book Antiqua"/>
          <w:sz w:val="22"/>
          <w:szCs w:val="22"/>
        </w:rPr>
        <w:t xml:space="preserve">and </w:t>
      </w:r>
    </w:p>
    <w:p w14:paraId="7C08A242" w14:textId="700D42E9" w:rsidR="00627C8C" w:rsidRPr="00627C8C" w:rsidRDefault="000A1F60" w:rsidP="000938BC">
      <w:pPr>
        <w:pStyle w:val="NoSpacing"/>
        <w:numPr>
          <w:ilvl w:val="0"/>
          <w:numId w:val="12"/>
        </w:numPr>
        <w:rPr>
          <w:rFonts w:ascii="Book Antiqua" w:hAnsi="Book Antiqua" w:cs="Times New Roman"/>
          <w:b/>
          <w:bCs/>
          <w:sz w:val="22"/>
          <w:szCs w:val="22"/>
        </w:rPr>
      </w:pPr>
      <w:r w:rsidRPr="00627C8C">
        <w:rPr>
          <w:rFonts w:ascii="Book Antiqua" w:hAnsi="Book Antiqua"/>
          <w:sz w:val="22"/>
          <w:szCs w:val="22"/>
        </w:rPr>
        <w:t xml:space="preserve">Starting July 1, 2024, </w:t>
      </w:r>
      <w:r w:rsidR="00462861" w:rsidRPr="00627C8C">
        <w:rPr>
          <w:rFonts w:ascii="Book Antiqua" w:hAnsi="Book Antiqua"/>
          <w:sz w:val="22"/>
          <w:szCs w:val="22"/>
        </w:rPr>
        <w:t>automatically update</w:t>
      </w:r>
      <w:r w:rsidR="00E50F8B" w:rsidRPr="00627C8C">
        <w:rPr>
          <w:rFonts w:ascii="Book Antiqua" w:hAnsi="Book Antiqua"/>
          <w:sz w:val="22"/>
          <w:szCs w:val="22"/>
        </w:rPr>
        <w:t xml:space="preserve"> these earnings thresholds every three years with current wage data</w:t>
      </w:r>
      <w:r w:rsidR="0095293E" w:rsidRPr="00627C8C">
        <w:rPr>
          <w:rFonts w:ascii="Book Antiqua" w:hAnsi="Book Antiqua"/>
          <w:sz w:val="22"/>
          <w:szCs w:val="22"/>
        </w:rPr>
        <w:t>—t</w:t>
      </w:r>
      <w:r w:rsidR="00E50F8B" w:rsidRPr="00627C8C">
        <w:rPr>
          <w:rFonts w:ascii="Book Antiqua" w:hAnsi="Book Antiqua"/>
          <w:sz w:val="22"/>
          <w:szCs w:val="22"/>
        </w:rPr>
        <w:t>his represents a change from current regulations that only require periodic reviews</w:t>
      </w:r>
      <w:r w:rsidR="00974DA4" w:rsidRPr="00627C8C">
        <w:rPr>
          <w:rFonts w:ascii="Book Antiqua" w:hAnsi="Book Antiqua"/>
          <w:sz w:val="22"/>
          <w:szCs w:val="22"/>
        </w:rPr>
        <w:t xml:space="preserve"> and require additional rulemaking to implement increased levels</w:t>
      </w:r>
      <w:r w:rsidR="008574F7" w:rsidRPr="00627C8C">
        <w:rPr>
          <w:rFonts w:ascii="Book Antiqua" w:hAnsi="Book Antiqua"/>
          <w:sz w:val="22"/>
          <w:szCs w:val="22"/>
        </w:rPr>
        <w:t xml:space="preserve">. </w:t>
      </w:r>
    </w:p>
    <w:p w14:paraId="7897FCB7" w14:textId="77777777" w:rsidR="00627C8C" w:rsidRDefault="00627C8C" w:rsidP="000938BC">
      <w:pPr>
        <w:pStyle w:val="NoSpacing"/>
        <w:rPr>
          <w:rFonts w:ascii="Book Antiqua" w:hAnsi="Book Antiqua"/>
          <w:sz w:val="22"/>
          <w:szCs w:val="22"/>
        </w:rPr>
      </w:pPr>
    </w:p>
    <w:p w14:paraId="3E22A481" w14:textId="7245BE07" w:rsidR="00C33125" w:rsidRPr="00CC6E6A" w:rsidRDefault="00183BA3" w:rsidP="000938BC">
      <w:pPr>
        <w:pStyle w:val="NoSpacing"/>
        <w:rPr>
          <w:rFonts w:ascii="Book Antiqua" w:hAnsi="Book Antiqua" w:cs="Times New Roman"/>
          <w:b/>
          <w:bCs/>
          <w:sz w:val="22"/>
          <w:szCs w:val="22"/>
        </w:rPr>
      </w:pPr>
      <w:r w:rsidRPr="00CC6E6A">
        <w:rPr>
          <w:rFonts w:ascii="Book Antiqua" w:hAnsi="Book Antiqua" w:cs="Times New Roman"/>
          <w:sz w:val="22"/>
          <w:szCs w:val="22"/>
        </w:rPr>
        <w:t xml:space="preserve">The </w:t>
      </w:r>
      <w:r w:rsidR="00D61315">
        <w:rPr>
          <w:rFonts w:ascii="Book Antiqua" w:hAnsi="Book Antiqua" w:cs="Times New Roman"/>
          <w:sz w:val="22"/>
          <w:szCs w:val="22"/>
        </w:rPr>
        <w:t xml:space="preserve">final </w:t>
      </w:r>
      <w:r w:rsidRPr="00CC6E6A">
        <w:rPr>
          <w:rFonts w:ascii="Book Antiqua" w:hAnsi="Book Antiqua" w:cs="Times New Roman"/>
          <w:sz w:val="22"/>
          <w:szCs w:val="22"/>
        </w:rPr>
        <w:t xml:space="preserve">rule makes no changes to the existing flexibility finalized in the 2019 rule that </w:t>
      </w:r>
      <w:r w:rsidR="00C33125" w:rsidRPr="00CC6E6A">
        <w:rPr>
          <w:rFonts w:ascii="Book Antiqua" w:hAnsi="Book Antiqua"/>
          <w:sz w:val="22"/>
          <w:szCs w:val="22"/>
        </w:rPr>
        <w:t xml:space="preserve">allow employers to use nondiscretionary bonuses and incentive payments (including commissions) to satisfy up to 10 percent of the standard salary level, provided these payments are made on an annual </w:t>
      </w:r>
      <w:r w:rsidR="009D7CA0" w:rsidRPr="00CC6E6A">
        <w:rPr>
          <w:rFonts w:ascii="Book Antiqua" w:hAnsi="Book Antiqua"/>
          <w:sz w:val="22"/>
          <w:szCs w:val="22"/>
        </w:rPr>
        <w:t>or more frequent basis</w:t>
      </w:r>
      <w:r w:rsidRPr="00CC6E6A">
        <w:rPr>
          <w:rFonts w:ascii="Book Antiqua" w:hAnsi="Book Antiqua"/>
          <w:sz w:val="22"/>
          <w:szCs w:val="22"/>
        </w:rPr>
        <w:t xml:space="preserve">. </w:t>
      </w:r>
      <w:r w:rsidR="00C33125" w:rsidRPr="00CC6E6A">
        <w:rPr>
          <w:rFonts w:ascii="Book Antiqua" w:hAnsi="Book Antiqua"/>
          <w:sz w:val="22"/>
          <w:szCs w:val="22"/>
        </w:rPr>
        <w:t xml:space="preserve"> </w:t>
      </w:r>
    </w:p>
    <w:p w14:paraId="520DC1BA" w14:textId="77777777" w:rsidR="00841C35" w:rsidRPr="00CC6E6A" w:rsidRDefault="00841C35" w:rsidP="00841C35">
      <w:pPr>
        <w:pStyle w:val="NoSpacing"/>
        <w:rPr>
          <w:rFonts w:ascii="Book Antiqua" w:hAnsi="Book Antiqua"/>
          <w:sz w:val="22"/>
          <w:szCs w:val="22"/>
        </w:rPr>
      </w:pPr>
    </w:p>
    <w:p w14:paraId="74CDE6BE" w14:textId="77777777" w:rsidR="00841C35" w:rsidRPr="00CC6E6A" w:rsidRDefault="00841C35" w:rsidP="00841C35">
      <w:pPr>
        <w:pStyle w:val="NoSpacing"/>
        <w:jc w:val="center"/>
        <w:rPr>
          <w:rFonts w:ascii="Book Antiqua" w:hAnsi="Book Antiqua" w:cs="Times New Roman"/>
          <w:b/>
          <w:bCs/>
          <w:sz w:val="22"/>
          <w:szCs w:val="22"/>
        </w:rPr>
      </w:pPr>
      <w:r w:rsidRPr="00CC6E6A">
        <w:rPr>
          <w:rFonts w:ascii="Book Antiqua" w:hAnsi="Book Antiqua" w:cs="Times New Roman"/>
          <w:b/>
          <w:bCs/>
          <w:sz w:val="22"/>
          <w:szCs w:val="22"/>
        </w:rPr>
        <w:t xml:space="preserve">FLSA </w:t>
      </w:r>
      <w:r w:rsidR="008A7E05" w:rsidRPr="00CC6E6A">
        <w:rPr>
          <w:rFonts w:ascii="Book Antiqua" w:hAnsi="Book Antiqua" w:cs="Times New Roman"/>
          <w:b/>
          <w:bCs/>
          <w:sz w:val="22"/>
          <w:szCs w:val="22"/>
        </w:rPr>
        <w:t>“White Collar” or “EAP”</w:t>
      </w:r>
      <w:r w:rsidRPr="00CC6E6A">
        <w:rPr>
          <w:rFonts w:ascii="Book Antiqua" w:hAnsi="Book Antiqua" w:cs="Times New Roman"/>
          <w:b/>
          <w:bCs/>
          <w:sz w:val="22"/>
          <w:szCs w:val="22"/>
        </w:rPr>
        <w:t xml:space="preserve"> Exemption</w:t>
      </w:r>
    </w:p>
    <w:p w14:paraId="1A19EFA0" w14:textId="77777777" w:rsidR="006D10D0" w:rsidRPr="00CC6E6A" w:rsidRDefault="006D10D0" w:rsidP="003A3A46">
      <w:pPr>
        <w:pStyle w:val="NoSpacing"/>
        <w:jc w:val="center"/>
        <w:rPr>
          <w:rFonts w:ascii="Book Antiqua" w:hAnsi="Book Antiqua" w:cs="Times New Roman"/>
          <w:b/>
          <w:bCs/>
          <w:sz w:val="22"/>
          <w:szCs w:val="22"/>
        </w:rPr>
      </w:pPr>
    </w:p>
    <w:p w14:paraId="700A967A" w14:textId="589C6E70" w:rsidR="003019D6" w:rsidRPr="00CC6E6A" w:rsidRDefault="00EC5CDF" w:rsidP="00976B0E">
      <w:pPr>
        <w:pStyle w:val="NoSpacing"/>
        <w:jc w:val="both"/>
        <w:rPr>
          <w:rFonts w:ascii="Book Antiqua" w:hAnsi="Book Antiqua" w:cs="Times New Roman"/>
          <w:sz w:val="22"/>
          <w:szCs w:val="22"/>
        </w:rPr>
      </w:pPr>
      <w:r w:rsidRPr="00CC6E6A">
        <w:rPr>
          <w:rFonts w:ascii="Book Antiqua" w:hAnsi="Book Antiqua" w:cs="Times New Roman"/>
          <w:sz w:val="22"/>
          <w:szCs w:val="22"/>
        </w:rPr>
        <w:t xml:space="preserve">Under the </w:t>
      </w:r>
      <w:r w:rsidR="002F0939" w:rsidRPr="00CC6E6A">
        <w:rPr>
          <w:rFonts w:ascii="Book Antiqua" w:hAnsi="Book Antiqua" w:cs="Times New Roman"/>
          <w:sz w:val="22"/>
          <w:szCs w:val="22"/>
        </w:rPr>
        <w:t>Fair Labor Standards Act (</w:t>
      </w:r>
      <w:r w:rsidR="00CA2068" w:rsidRPr="00CC6E6A">
        <w:rPr>
          <w:rFonts w:ascii="Book Antiqua" w:hAnsi="Book Antiqua" w:cs="Times New Roman"/>
          <w:sz w:val="22"/>
          <w:szCs w:val="22"/>
        </w:rPr>
        <w:t>“</w:t>
      </w:r>
      <w:r w:rsidRPr="00CC6E6A">
        <w:rPr>
          <w:rFonts w:ascii="Book Antiqua" w:hAnsi="Book Antiqua" w:cs="Times New Roman"/>
          <w:sz w:val="22"/>
          <w:szCs w:val="22"/>
        </w:rPr>
        <w:t>FLSA</w:t>
      </w:r>
      <w:r w:rsidR="00CA2068" w:rsidRPr="00CC6E6A">
        <w:rPr>
          <w:rFonts w:ascii="Book Antiqua" w:hAnsi="Book Antiqua" w:cs="Times New Roman"/>
          <w:sz w:val="22"/>
          <w:szCs w:val="22"/>
        </w:rPr>
        <w:t>”)</w:t>
      </w:r>
      <w:r w:rsidRPr="00CC6E6A">
        <w:rPr>
          <w:rFonts w:ascii="Book Antiqua" w:hAnsi="Book Antiqua" w:cs="Times New Roman"/>
          <w:sz w:val="22"/>
          <w:szCs w:val="22"/>
        </w:rPr>
        <w:t xml:space="preserve">, non-exempt employees must receive a minimum wage and overtime </w:t>
      </w:r>
      <w:r w:rsidR="00FF3219" w:rsidRPr="00CC6E6A">
        <w:rPr>
          <w:rFonts w:ascii="Book Antiqua" w:hAnsi="Book Antiqua" w:cs="Times New Roman"/>
          <w:sz w:val="22"/>
          <w:szCs w:val="22"/>
        </w:rPr>
        <w:t>pay</w:t>
      </w:r>
      <w:r w:rsidRPr="00CC6E6A">
        <w:rPr>
          <w:rFonts w:ascii="Book Antiqua" w:hAnsi="Book Antiqua" w:cs="Times New Roman"/>
          <w:sz w:val="22"/>
          <w:szCs w:val="22"/>
        </w:rPr>
        <w:t xml:space="preserve"> for work conducted in excess of 40 hours a week.  However, the FLSA also allows certain employees to be exempt (white collar exemption) from these minimum wage and overtime requirements if they work in executive, administrative, professional </w:t>
      </w:r>
      <w:r w:rsidR="00444064" w:rsidRPr="00CC6E6A">
        <w:rPr>
          <w:rFonts w:ascii="Book Antiqua" w:hAnsi="Book Antiqua" w:cs="Times New Roman"/>
          <w:sz w:val="22"/>
          <w:szCs w:val="22"/>
        </w:rPr>
        <w:t xml:space="preserve">(“EAP”) </w:t>
      </w:r>
      <w:r w:rsidRPr="00CC6E6A">
        <w:rPr>
          <w:rFonts w:ascii="Book Antiqua" w:hAnsi="Book Antiqua" w:cs="Times New Roman"/>
          <w:sz w:val="22"/>
          <w:szCs w:val="22"/>
        </w:rPr>
        <w:t xml:space="preserve">or outside sales duties </w:t>
      </w:r>
      <w:r w:rsidRPr="00CC6E6A">
        <w:rPr>
          <w:rFonts w:ascii="Book Antiqua" w:hAnsi="Book Antiqua" w:cs="Times New Roman"/>
          <w:sz w:val="22"/>
          <w:szCs w:val="22"/>
          <w:u w:val="single"/>
        </w:rPr>
        <w:t>and</w:t>
      </w:r>
      <w:r w:rsidRPr="00CC6E6A">
        <w:rPr>
          <w:rFonts w:ascii="Book Antiqua" w:hAnsi="Book Antiqua" w:cs="Times New Roman"/>
          <w:sz w:val="22"/>
          <w:szCs w:val="22"/>
        </w:rPr>
        <w:t xml:space="preserve"> meet</w:t>
      </w:r>
      <w:r w:rsidR="00C40DFA" w:rsidRPr="00CC6E6A">
        <w:rPr>
          <w:rFonts w:ascii="Book Antiqua" w:hAnsi="Book Antiqua" w:cs="Times New Roman"/>
          <w:sz w:val="22"/>
          <w:szCs w:val="22"/>
        </w:rPr>
        <w:t xml:space="preserve"> all of</w:t>
      </w:r>
      <w:r w:rsidRPr="00CC6E6A">
        <w:rPr>
          <w:rFonts w:ascii="Book Antiqua" w:hAnsi="Book Antiqua" w:cs="Times New Roman"/>
          <w:sz w:val="22"/>
          <w:szCs w:val="22"/>
        </w:rPr>
        <w:t xml:space="preserve"> the following requirements:</w:t>
      </w:r>
    </w:p>
    <w:p w14:paraId="613BBFDA" w14:textId="77777777" w:rsidR="00EC5CDF" w:rsidRPr="00CC6E6A" w:rsidRDefault="00EC5CDF" w:rsidP="00976B0E">
      <w:pPr>
        <w:pStyle w:val="NoSpacing"/>
        <w:jc w:val="both"/>
        <w:rPr>
          <w:rFonts w:ascii="Book Antiqua" w:hAnsi="Book Antiqua" w:cs="Times New Roman"/>
          <w:sz w:val="22"/>
          <w:szCs w:val="22"/>
        </w:rPr>
      </w:pPr>
    </w:p>
    <w:p w14:paraId="4C3C0003" w14:textId="77777777" w:rsidR="00EC5CDF" w:rsidRPr="00CC6E6A" w:rsidRDefault="00EC5CDF" w:rsidP="00EC5CDF">
      <w:pPr>
        <w:pStyle w:val="NoSpacing"/>
        <w:numPr>
          <w:ilvl w:val="0"/>
          <w:numId w:val="8"/>
        </w:numPr>
        <w:jc w:val="both"/>
        <w:rPr>
          <w:rFonts w:ascii="Book Antiqua" w:hAnsi="Book Antiqua" w:cs="Times New Roman"/>
          <w:sz w:val="22"/>
          <w:szCs w:val="22"/>
        </w:rPr>
      </w:pPr>
      <w:r w:rsidRPr="00CC6E6A">
        <w:rPr>
          <w:rFonts w:ascii="Book Antiqua" w:hAnsi="Book Antiqua" w:cs="Times New Roman"/>
          <w:sz w:val="22"/>
          <w:szCs w:val="22"/>
        </w:rPr>
        <w:t>Employee must be paid on a salary basis that is not subject to reduction based on the quality or quantity of work conducted (e.g., paid on an hourly basis).</w:t>
      </w:r>
    </w:p>
    <w:p w14:paraId="34D9498F" w14:textId="324B78C1" w:rsidR="00EC5CDF" w:rsidRPr="00CC6E6A" w:rsidRDefault="00EC5CDF" w:rsidP="00EC5CDF">
      <w:pPr>
        <w:pStyle w:val="NoSpacing"/>
        <w:numPr>
          <w:ilvl w:val="0"/>
          <w:numId w:val="8"/>
        </w:numPr>
        <w:jc w:val="both"/>
        <w:rPr>
          <w:rFonts w:ascii="Book Antiqua" w:hAnsi="Book Antiqua" w:cs="Times New Roman"/>
          <w:sz w:val="22"/>
          <w:szCs w:val="22"/>
        </w:rPr>
      </w:pPr>
      <w:r w:rsidRPr="00CC6E6A">
        <w:rPr>
          <w:rFonts w:ascii="Book Antiqua" w:hAnsi="Book Antiqua" w:cs="Times New Roman"/>
          <w:sz w:val="22"/>
          <w:szCs w:val="22"/>
        </w:rPr>
        <w:t>Employee must receive a sal</w:t>
      </w:r>
      <w:r w:rsidR="004B307C" w:rsidRPr="00CC6E6A">
        <w:rPr>
          <w:rFonts w:ascii="Book Antiqua" w:hAnsi="Book Antiqua" w:cs="Times New Roman"/>
          <w:sz w:val="22"/>
          <w:szCs w:val="22"/>
        </w:rPr>
        <w:t>ary at a rate not less than $684</w:t>
      </w:r>
      <w:r w:rsidRPr="00CC6E6A">
        <w:rPr>
          <w:rFonts w:ascii="Book Antiqua" w:hAnsi="Book Antiqua" w:cs="Times New Roman"/>
          <w:sz w:val="22"/>
          <w:szCs w:val="22"/>
        </w:rPr>
        <w:t xml:space="preserve"> per week</w:t>
      </w:r>
      <w:r w:rsidR="005607DB">
        <w:rPr>
          <w:rFonts w:ascii="Book Antiqua" w:hAnsi="Book Antiqua" w:cs="Times New Roman"/>
          <w:sz w:val="22"/>
          <w:szCs w:val="22"/>
        </w:rPr>
        <w:t xml:space="preserve"> (or $844 on July 1, 2024)</w:t>
      </w:r>
      <w:r w:rsidR="00444064" w:rsidRPr="00CC6E6A">
        <w:rPr>
          <w:rFonts w:ascii="Book Antiqua" w:hAnsi="Book Antiqua" w:cs="Times New Roman"/>
          <w:sz w:val="22"/>
          <w:szCs w:val="22"/>
        </w:rPr>
        <w:t>.</w:t>
      </w:r>
    </w:p>
    <w:p w14:paraId="0EE7BDF5" w14:textId="3C9C6922" w:rsidR="007B26F2" w:rsidRPr="00CC6E6A" w:rsidRDefault="007B26F2" w:rsidP="00EC5CDF">
      <w:pPr>
        <w:pStyle w:val="NoSpacing"/>
        <w:numPr>
          <w:ilvl w:val="0"/>
          <w:numId w:val="8"/>
        </w:numPr>
        <w:jc w:val="both"/>
        <w:rPr>
          <w:rFonts w:ascii="Book Antiqua" w:hAnsi="Book Antiqua" w:cs="Times New Roman"/>
          <w:sz w:val="22"/>
          <w:szCs w:val="22"/>
        </w:rPr>
      </w:pPr>
      <w:r w:rsidRPr="00CC6E6A">
        <w:rPr>
          <w:rFonts w:ascii="Book Antiqua" w:hAnsi="Book Antiqua" w:cs="Times New Roman"/>
          <w:sz w:val="22"/>
          <w:szCs w:val="22"/>
        </w:rPr>
        <w:lastRenderedPageBreak/>
        <w:t xml:space="preserve">Employee primary duties must involve the kind of work associated with the exempt status categories allowed under law (executive, administrative, </w:t>
      </w:r>
      <w:r w:rsidRPr="00CC6E6A">
        <w:rPr>
          <w:rFonts w:ascii="Book Antiqua" w:hAnsi="Book Antiqua" w:cs="Times New Roman"/>
          <w:sz w:val="22"/>
          <w:szCs w:val="22"/>
          <w:u w:val="single"/>
        </w:rPr>
        <w:t>professional</w:t>
      </w:r>
      <w:r w:rsidRPr="00CC6E6A">
        <w:rPr>
          <w:rFonts w:ascii="Book Antiqua" w:hAnsi="Book Antiqua" w:cs="Times New Roman"/>
          <w:sz w:val="22"/>
          <w:szCs w:val="22"/>
        </w:rPr>
        <w:t>, outside sales)</w:t>
      </w:r>
      <w:r w:rsidR="00F0584C" w:rsidRPr="00CC6E6A">
        <w:rPr>
          <w:rFonts w:ascii="Book Antiqua" w:hAnsi="Book Antiqua" w:cs="Times New Roman"/>
          <w:sz w:val="22"/>
          <w:szCs w:val="22"/>
        </w:rPr>
        <w:t xml:space="preserve"> (the “duties test”). </w:t>
      </w:r>
    </w:p>
    <w:p w14:paraId="6B6F0CA9" w14:textId="77777777" w:rsidR="006E68AA" w:rsidRPr="00CC6E6A" w:rsidRDefault="006E68AA" w:rsidP="00976B0E">
      <w:pPr>
        <w:pStyle w:val="NoSpacing"/>
        <w:jc w:val="both"/>
        <w:rPr>
          <w:rFonts w:ascii="Book Antiqua" w:hAnsi="Book Antiqua" w:cs="Times New Roman"/>
          <w:sz w:val="22"/>
          <w:szCs w:val="22"/>
        </w:rPr>
      </w:pPr>
    </w:p>
    <w:p w14:paraId="1E459320" w14:textId="398C44FD" w:rsidR="006E68AA" w:rsidRPr="00CC6E6A" w:rsidRDefault="007B26F2" w:rsidP="00AD03AE">
      <w:pPr>
        <w:pStyle w:val="NoSpacing"/>
        <w:jc w:val="center"/>
        <w:rPr>
          <w:rFonts w:ascii="Book Antiqua" w:hAnsi="Book Antiqua" w:cs="Times New Roman"/>
          <w:b/>
          <w:sz w:val="22"/>
          <w:szCs w:val="22"/>
        </w:rPr>
      </w:pPr>
      <w:r w:rsidRPr="00CC6E6A">
        <w:rPr>
          <w:rFonts w:ascii="Book Antiqua" w:hAnsi="Book Antiqua" w:cs="Times New Roman"/>
          <w:b/>
          <w:sz w:val="22"/>
          <w:szCs w:val="22"/>
        </w:rPr>
        <w:t>Certified Athletic Trainers</w:t>
      </w:r>
      <w:r w:rsidR="00D80563" w:rsidRPr="00CC6E6A">
        <w:rPr>
          <w:rFonts w:ascii="Book Antiqua" w:hAnsi="Book Antiqua" w:cs="Times New Roman"/>
          <w:b/>
          <w:sz w:val="22"/>
          <w:szCs w:val="22"/>
        </w:rPr>
        <w:t xml:space="preserve"> W</w:t>
      </w:r>
      <w:r w:rsidR="008936FB">
        <w:rPr>
          <w:rFonts w:ascii="Book Antiqua" w:hAnsi="Book Antiqua" w:cs="Times New Roman"/>
          <w:b/>
          <w:sz w:val="22"/>
          <w:szCs w:val="22"/>
        </w:rPr>
        <w:t>ill</w:t>
      </w:r>
      <w:r w:rsidR="00D80563" w:rsidRPr="00CC6E6A">
        <w:rPr>
          <w:rFonts w:ascii="Book Antiqua" w:hAnsi="Book Antiqua" w:cs="Times New Roman"/>
          <w:b/>
          <w:sz w:val="22"/>
          <w:szCs w:val="22"/>
        </w:rPr>
        <w:t xml:space="preserve"> Continue to</w:t>
      </w:r>
      <w:r w:rsidR="00E54D50" w:rsidRPr="00CC6E6A">
        <w:rPr>
          <w:rFonts w:ascii="Book Antiqua" w:hAnsi="Book Antiqua" w:cs="Times New Roman"/>
          <w:b/>
          <w:sz w:val="22"/>
          <w:szCs w:val="22"/>
        </w:rPr>
        <w:t xml:space="preserve"> </w:t>
      </w:r>
      <w:r w:rsidR="00D80563" w:rsidRPr="00CC6E6A">
        <w:rPr>
          <w:rFonts w:ascii="Book Antiqua" w:hAnsi="Book Antiqua" w:cs="Times New Roman"/>
          <w:b/>
          <w:sz w:val="22"/>
          <w:szCs w:val="22"/>
        </w:rPr>
        <w:t>Fall Under “Learned Professional” Exemption Test</w:t>
      </w:r>
    </w:p>
    <w:p w14:paraId="6E2A0378" w14:textId="77777777" w:rsidR="006E68AA" w:rsidRPr="00CC6E6A" w:rsidRDefault="006E68AA" w:rsidP="006E68AA">
      <w:pPr>
        <w:pStyle w:val="NoSpacing"/>
        <w:jc w:val="both"/>
        <w:rPr>
          <w:rFonts w:ascii="Book Antiqua" w:hAnsi="Book Antiqua" w:cs="Times New Roman"/>
          <w:b/>
          <w:sz w:val="22"/>
          <w:szCs w:val="22"/>
        </w:rPr>
      </w:pPr>
    </w:p>
    <w:p w14:paraId="5CD4126C" w14:textId="7D12B0A2" w:rsidR="007B26F2" w:rsidRPr="00CC6E6A" w:rsidRDefault="00F511E3" w:rsidP="006E68AA">
      <w:pPr>
        <w:pStyle w:val="NoSpacing"/>
        <w:jc w:val="both"/>
        <w:rPr>
          <w:rFonts w:ascii="Book Antiqua" w:hAnsi="Book Antiqua" w:cs="Times New Roman"/>
          <w:sz w:val="22"/>
          <w:szCs w:val="22"/>
        </w:rPr>
      </w:pPr>
      <w:r w:rsidRPr="00CC6E6A">
        <w:rPr>
          <w:rFonts w:ascii="Book Antiqua" w:hAnsi="Book Antiqua" w:cs="Times New Roman"/>
          <w:sz w:val="22"/>
          <w:szCs w:val="22"/>
        </w:rPr>
        <w:t xml:space="preserve">The </w:t>
      </w:r>
      <w:r w:rsidR="00F557EB" w:rsidRPr="00CC6E6A">
        <w:rPr>
          <w:rFonts w:ascii="Book Antiqua" w:hAnsi="Book Antiqua" w:cs="Times New Roman"/>
          <w:sz w:val="22"/>
          <w:szCs w:val="22"/>
        </w:rPr>
        <w:t xml:space="preserve">DOL </w:t>
      </w:r>
      <w:r w:rsidR="002A2198">
        <w:rPr>
          <w:rFonts w:ascii="Book Antiqua" w:hAnsi="Book Antiqua" w:cs="Times New Roman"/>
          <w:sz w:val="22"/>
          <w:szCs w:val="22"/>
        </w:rPr>
        <w:t>final</w:t>
      </w:r>
      <w:r w:rsidR="002A2198" w:rsidRPr="00CC6E6A">
        <w:rPr>
          <w:rFonts w:ascii="Book Antiqua" w:hAnsi="Book Antiqua" w:cs="Times New Roman"/>
          <w:sz w:val="22"/>
          <w:szCs w:val="22"/>
        </w:rPr>
        <w:t xml:space="preserve"> </w:t>
      </w:r>
      <w:r w:rsidR="004B307C" w:rsidRPr="00CC6E6A">
        <w:rPr>
          <w:rFonts w:ascii="Book Antiqua" w:hAnsi="Book Antiqua" w:cs="Times New Roman"/>
          <w:sz w:val="22"/>
          <w:szCs w:val="22"/>
        </w:rPr>
        <w:t>rule</w:t>
      </w:r>
      <w:r w:rsidR="00D17F67" w:rsidRPr="00CC6E6A">
        <w:rPr>
          <w:rFonts w:ascii="Book Antiqua" w:hAnsi="Book Antiqua" w:cs="Times New Roman"/>
          <w:sz w:val="22"/>
          <w:szCs w:val="22"/>
        </w:rPr>
        <w:t xml:space="preserve"> is focused on </w:t>
      </w:r>
      <w:r w:rsidR="00B43D30" w:rsidRPr="00CC6E6A">
        <w:rPr>
          <w:rFonts w:ascii="Book Antiqua" w:hAnsi="Book Antiqua" w:cs="Times New Roman"/>
          <w:sz w:val="22"/>
          <w:szCs w:val="22"/>
        </w:rPr>
        <w:t xml:space="preserve">the part of the test that relates to </w:t>
      </w:r>
      <w:r w:rsidR="00D17F67" w:rsidRPr="00CC6E6A">
        <w:rPr>
          <w:rFonts w:ascii="Book Antiqua" w:hAnsi="Book Antiqua" w:cs="Times New Roman"/>
          <w:sz w:val="22"/>
          <w:szCs w:val="22"/>
        </w:rPr>
        <w:t>compensation level</w:t>
      </w:r>
      <w:r w:rsidR="0009113E" w:rsidRPr="00CC6E6A">
        <w:rPr>
          <w:rFonts w:ascii="Book Antiqua" w:hAnsi="Book Antiqua" w:cs="Times New Roman"/>
          <w:sz w:val="22"/>
          <w:szCs w:val="22"/>
        </w:rPr>
        <w:t xml:space="preserve">s. </w:t>
      </w:r>
      <w:r w:rsidR="0009113E" w:rsidRPr="00627C8C">
        <w:rPr>
          <w:rFonts w:ascii="Book Antiqua" w:hAnsi="Book Antiqua" w:cs="Times New Roman"/>
          <w:b/>
          <w:bCs/>
          <w:sz w:val="22"/>
          <w:szCs w:val="22"/>
        </w:rPr>
        <w:t>The</w:t>
      </w:r>
      <w:r w:rsidR="000F0051" w:rsidRPr="00627C8C">
        <w:rPr>
          <w:rFonts w:ascii="Book Antiqua" w:hAnsi="Book Antiqua" w:cs="Times New Roman"/>
          <w:b/>
          <w:bCs/>
          <w:sz w:val="22"/>
          <w:szCs w:val="22"/>
        </w:rPr>
        <w:t>re are no changes to the</w:t>
      </w:r>
      <w:r w:rsidR="0009113E" w:rsidRPr="00627C8C">
        <w:rPr>
          <w:rFonts w:ascii="Book Antiqua" w:hAnsi="Book Antiqua" w:cs="Times New Roman"/>
          <w:b/>
          <w:bCs/>
          <w:sz w:val="22"/>
          <w:szCs w:val="22"/>
        </w:rPr>
        <w:t xml:space="preserve"> </w:t>
      </w:r>
      <w:r w:rsidR="00A21531" w:rsidRPr="00627C8C">
        <w:rPr>
          <w:rFonts w:ascii="Book Antiqua" w:hAnsi="Book Antiqua" w:cs="Times New Roman"/>
          <w:b/>
          <w:bCs/>
          <w:sz w:val="22"/>
          <w:szCs w:val="22"/>
        </w:rPr>
        <w:t>exemption’s</w:t>
      </w:r>
      <w:r w:rsidR="000F0051" w:rsidRPr="00627C8C">
        <w:rPr>
          <w:rFonts w:ascii="Book Antiqua" w:hAnsi="Book Antiqua" w:cs="Times New Roman"/>
          <w:b/>
          <w:bCs/>
          <w:sz w:val="22"/>
          <w:szCs w:val="22"/>
        </w:rPr>
        <w:t xml:space="preserve"> </w:t>
      </w:r>
      <w:r w:rsidR="00A21531" w:rsidRPr="00627C8C">
        <w:rPr>
          <w:rFonts w:ascii="Book Antiqua" w:hAnsi="Book Antiqua" w:cs="Times New Roman"/>
          <w:b/>
          <w:bCs/>
          <w:sz w:val="22"/>
          <w:szCs w:val="22"/>
        </w:rPr>
        <w:t xml:space="preserve">duties </w:t>
      </w:r>
      <w:r w:rsidR="00F45F77" w:rsidRPr="00627C8C">
        <w:rPr>
          <w:rFonts w:ascii="Book Antiqua" w:hAnsi="Book Antiqua" w:cs="Times New Roman"/>
          <w:b/>
          <w:bCs/>
          <w:sz w:val="22"/>
          <w:szCs w:val="22"/>
        </w:rPr>
        <w:t>test,</w:t>
      </w:r>
      <w:r w:rsidR="000F0051" w:rsidRPr="00627C8C">
        <w:rPr>
          <w:rFonts w:ascii="Book Antiqua" w:hAnsi="Book Antiqua" w:cs="Times New Roman"/>
          <w:b/>
          <w:bCs/>
          <w:sz w:val="22"/>
          <w:szCs w:val="22"/>
        </w:rPr>
        <w:t xml:space="preserve"> which must also be met</w:t>
      </w:r>
      <w:r w:rsidR="00245F41" w:rsidRPr="00CC6E6A">
        <w:rPr>
          <w:rFonts w:ascii="Book Antiqua" w:hAnsi="Book Antiqua" w:cs="Times New Roman"/>
          <w:sz w:val="22"/>
          <w:szCs w:val="22"/>
        </w:rPr>
        <w:t xml:space="preserve">. Therefore, the final rule will not </w:t>
      </w:r>
      <w:r w:rsidR="00BC6E2A" w:rsidRPr="00CC6E6A">
        <w:rPr>
          <w:rFonts w:ascii="Book Antiqua" w:hAnsi="Book Antiqua" w:cs="Times New Roman"/>
          <w:sz w:val="22"/>
          <w:szCs w:val="22"/>
        </w:rPr>
        <w:t>change the</w:t>
      </w:r>
      <w:r w:rsidR="00F0584C" w:rsidRPr="00CC6E6A">
        <w:rPr>
          <w:rFonts w:ascii="Book Antiqua" w:hAnsi="Book Antiqua" w:cs="Times New Roman"/>
          <w:sz w:val="22"/>
          <w:szCs w:val="22"/>
        </w:rPr>
        <w:t xml:space="preserve"> existing </w:t>
      </w:r>
      <w:r w:rsidR="008B12AB" w:rsidRPr="00CC6E6A">
        <w:rPr>
          <w:rFonts w:ascii="Book Antiqua" w:hAnsi="Book Antiqua" w:cs="Times New Roman"/>
          <w:sz w:val="22"/>
          <w:szCs w:val="22"/>
        </w:rPr>
        <w:t xml:space="preserve">duties test for athletic trainers’ </w:t>
      </w:r>
      <w:r w:rsidR="00F0584C" w:rsidRPr="00CC6E6A">
        <w:rPr>
          <w:rFonts w:ascii="Book Antiqua" w:hAnsi="Book Antiqua" w:cs="Times New Roman"/>
          <w:sz w:val="22"/>
          <w:szCs w:val="22"/>
        </w:rPr>
        <w:t>exemption</w:t>
      </w:r>
      <w:r w:rsidR="008B12AB" w:rsidRPr="00CC6E6A">
        <w:rPr>
          <w:rFonts w:ascii="Book Antiqua" w:hAnsi="Book Antiqua" w:cs="Times New Roman"/>
          <w:sz w:val="22"/>
          <w:szCs w:val="22"/>
        </w:rPr>
        <w:t>, which is</w:t>
      </w:r>
      <w:r w:rsidR="00F0584C" w:rsidRPr="00CC6E6A">
        <w:rPr>
          <w:rFonts w:ascii="Book Antiqua" w:hAnsi="Book Antiqua" w:cs="Times New Roman"/>
          <w:sz w:val="22"/>
          <w:szCs w:val="22"/>
        </w:rPr>
        <w:t xml:space="preserve"> codified in </w:t>
      </w:r>
      <w:r w:rsidR="00D31731" w:rsidRPr="00CC6E6A">
        <w:rPr>
          <w:rFonts w:ascii="Book Antiqua" w:hAnsi="Book Antiqua" w:cs="Times New Roman"/>
          <w:sz w:val="22"/>
          <w:szCs w:val="22"/>
        </w:rPr>
        <w:t xml:space="preserve">regulations (29 CFR 541.301(e)). </w:t>
      </w:r>
      <w:r w:rsidR="00ED3C18" w:rsidRPr="00CC6E6A">
        <w:rPr>
          <w:rFonts w:ascii="Book Antiqua" w:hAnsi="Book Antiqua" w:cs="Times New Roman"/>
          <w:sz w:val="22"/>
          <w:szCs w:val="22"/>
        </w:rPr>
        <w:t xml:space="preserve">Under this </w:t>
      </w:r>
      <w:r w:rsidR="008B12AB" w:rsidRPr="00CC6E6A">
        <w:rPr>
          <w:rFonts w:ascii="Book Antiqua" w:hAnsi="Book Antiqua" w:cs="Times New Roman"/>
          <w:sz w:val="22"/>
          <w:szCs w:val="22"/>
        </w:rPr>
        <w:t>duties test</w:t>
      </w:r>
      <w:r w:rsidR="00ED3C18" w:rsidRPr="00CC6E6A">
        <w:rPr>
          <w:rFonts w:ascii="Book Antiqua" w:hAnsi="Book Antiqua" w:cs="Times New Roman"/>
          <w:sz w:val="22"/>
          <w:szCs w:val="22"/>
        </w:rPr>
        <w:t xml:space="preserve">, </w:t>
      </w:r>
      <w:r w:rsidR="0045778A" w:rsidRPr="00CC6E6A">
        <w:rPr>
          <w:rFonts w:ascii="Book Antiqua" w:hAnsi="Book Antiqua" w:cs="Times New Roman"/>
          <w:sz w:val="22"/>
          <w:szCs w:val="22"/>
        </w:rPr>
        <w:t>any learned professional</w:t>
      </w:r>
      <w:r w:rsidRPr="00CC6E6A">
        <w:rPr>
          <w:rFonts w:ascii="Book Antiqua" w:hAnsi="Book Antiqua" w:cs="Times New Roman"/>
          <w:sz w:val="22"/>
          <w:szCs w:val="22"/>
        </w:rPr>
        <w:t xml:space="preserve"> </w:t>
      </w:r>
      <w:r w:rsidR="008B12AB" w:rsidRPr="00CC6E6A">
        <w:rPr>
          <w:rFonts w:ascii="Book Antiqua" w:hAnsi="Book Antiqua" w:cs="Times New Roman"/>
          <w:sz w:val="22"/>
          <w:szCs w:val="22"/>
        </w:rPr>
        <w:t>must</w:t>
      </w:r>
      <w:r w:rsidRPr="00CC6E6A">
        <w:rPr>
          <w:rFonts w:ascii="Book Antiqua" w:hAnsi="Book Antiqua" w:cs="Times New Roman"/>
          <w:sz w:val="22"/>
          <w:szCs w:val="22"/>
        </w:rPr>
        <w:t xml:space="preserve"> satisfy the </w:t>
      </w:r>
      <w:r w:rsidR="00D13E41" w:rsidRPr="00CC6E6A">
        <w:rPr>
          <w:rFonts w:ascii="Book Antiqua" w:hAnsi="Book Antiqua" w:cs="Times New Roman"/>
          <w:sz w:val="22"/>
          <w:szCs w:val="22"/>
        </w:rPr>
        <w:t xml:space="preserve">following </w:t>
      </w:r>
      <w:r w:rsidR="008B12AB" w:rsidRPr="00CC6E6A">
        <w:rPr>
          <w:rFonts w:ascii="Book Antiqua" w:hAnsi="Book Antiqua" w:cs="Times New Roman"/>
          <w:sz w:val="22"/>
          <w:szCs w:val="22"/>
        </w:rPr>
        <w:t xml:space="preserve">three general requirements: </w:t>
      </w:r>
    </w:p>
    <w:p w14:paraId="464D8708" w14:textId="77777777" w:rsidR="008B12AB" w:rsidRPr="00CC6E6A" w:rsidRDefault="008B12AB" w:rsidP="008B12AB">
      <w:pPr>
        <w:pStyle w:val="NoSpacing"/>
        <w:jc w:val="both"/>
        <w:rPr>
          <w:rFonts w:ascii="Book Antiqua" w:hAnsi="Book Antiqua" w:cs="Times New Roman"/>
          <w:sz w:val="22"/>
          <w:szCs w:val="22"/>
        </w:rPr>
      </w:pPr>
    </w:p>
    <w:p w14:paraId="27420EE8" w14:textId="77777777" w:rsidR="008B12AB" w:rsidRPr="00CC6E6A" w:rsidRDefault="008B12AB" w:rsidP="008B12AB">
      <w:pPr>
        <w:pStyle w:val="NoSpacing"/>
        <w:numPr>
          <w:ilvl w:val="0"/>
          <w:numId w:val="9"/>
        </w:numPr>
        <w:jc w:val="both"/>
        <w:rPr>
          <w:rFonts w:ascii="Book Antiqua" w:hAnsi="Book Antiqua" w:cs="Times New Roman"/>
          <w:sz w:val="22"/>
          <w:szCs w:val="22"/>
        </w:rPr>
      </w:pPr>
      <w:r w:rsidRPr="00CC6E6A">
        <w:rPr>
          <w:rFonts w:ascii="Book Antiqua" w:hAnsi="Book Antiqua" w:cs="Times New Roman"/>
          <w:sz w:val="22"/>
          <w:szCs w:val="22"/>
        </w:rPr>
        <w:t>The employee’s primary duty is the performance of work requiring advanced knowledge.</w:t>
      </w:r>
    </w:p>
    <w:p w14:paraId="2C429B52" w14:textId="77777777" w:rsidR="008B12AB" w:rsidRPr="00CC6E6A" w:rsidRDefault="008B12AB" w:rsidP="008B12AB">
      <w:pPr>
        <w:pStyle w:val="NoSpacing"/>
        <w:numPr>
          <w:ilvl w:val="0"/>
          <w:numId w:val="9"/>
        </w:numPr>
        <w:jc w:val="both"/>
        <w:rPr>
          <w:rFonts w:ascii="Book Antiqua" w:hAnsi="Book Antiqua" w:cs="Times New Roman"/>
          <w:sz w:val="22"/>
          <w:szCs w:val="22"/>
        </w:rPr>
      </w:pPr>
      <w:r w:rsidRPr="00CC6E6A">
        <w:rPr>
          <w:rFonts w:ascii="Book Antiqua" w:hAnsi="Book Antiqua" w:cs="Times New Roman"/>
          <w:sz w:val="22"/>
          <w:szCs w:val="22"/>
        </w:rPr>
        <w:t>The advanced knowledge is in a field of science or learning.</w:t>
      </w:r>
    </w:p>
    <w:p w14:paraId="124D65BE" w14:textId="77777777" w:rsidR="008B12AB" w:rsidRPr="00CC6E6A" w:rsidRDefault="008B12AB" w:rsidP="008B12AB">
      <w:pPr>
        <w:pStyle w:val="NoSpacing"/>
        <w:numPr>
          <w:ilvl w:val="0"/>
          <w:numId w:val="9"/>
        </w:numPr>
        <w:jc w:val="both"/>
        <w:rPr>
          <w:rFonts w:ascii="Book Antiqua" w:hAnsi="Book Antiqua" w:cs="Times New Roman"/>
          <w:sz w:val="22"/>
          <w:szCs w:val="22"/>
        </w:rPr>
      </w:pPr>
      <w:r w:rsidRPr="00CC6E6A">
        <w:rPr>
          <w:rFonts w:ascii="Book Antiqua" w:hAnsi="Book Antiqua" w:cs="Times New Roman"/>
          <w:sz w:val="22"/>
          <w:szCs w:val="22"/>
        </w:rPr>
        <w:t>The advanced knowledge must be acquired by a prolonged course of specialized intellectual instruction.</w:t>
      </w:r>
    </w:p>
    <w:p w14:paraId="400CC5BA" w14:textId="77777777" w:rsidR="00E37C9F" w:rsidRPr="00CC6E6A" w:rsidRDefault="00E37C9F" w:rsidP="008B12AB">
      <w:pPr>
        <w:pStyle w:val="NoSpacing"/>
        <w:jc w:val="both"/>
        <w:rPr>
          <w:rFonts w:ascii="Book Antiqua" w:hAnsi="Book Antiqua" w:cs="Times New Roman"/>
          <w:sz w:val="22"/>
          <w:szCs w:val="22"/>
        </w:rPr>
      </w:pPr>
    </w:p>
    <w:p w14:paraId="41698C12" w14:textId="0B5CDAB6" w:rsidR="007C67E0" w:rsidRPr="00CC6E6A" w:rsidRDefault="00E37C9F" w:rsidP="00B62385">
      <w:pPr>
        <w:pStyle w:val="NoSpacing"/>
        <w:jc w:val="both"/>
        <w:rPr>
          <w:rFonts w:ascii="Book Antiqua" w:hAnsi="Book Antiqua" w:cs="Times New Roman"/>
          <w:sz w:val="22"/>
          <w:szCs w:val="22"/>
        </w:rPr>
      </w:pPr>
      <w:r w:rsidRPr="00CC6E6A">
        <w:rPr>
          <w:rFonts w:ascii="Book Antiqua" w:hAnsi="Book Antiqua" w:cs="Times New Roman"/>
          <w:sz w:val="22"/>
          <w:szCs w:val="22"/>
        </w:rPr>
        <w:t xml:space="preserve">29 CFR 541.301(e)(8) clarifies this duties test </w:t>
      </w:r>
      <w:r w:rsidR="009E7A19" w:rsidRPr="00CC6E6A">
        <w:rPr>
          <w:rFonts w:ascii="Book Antiqua" w:hAnsi="Book Antiqua" w:cs="Times New Roman"/>
          <w:sz w:val="22"/>
          <w:szCs w:val="22"/>
        </w:rPr>
        <w:t xml:space="preserve">by stating affirmatively that </w:t>
      </w:r>
      <w:r w:rsidR="00B62385" w:rsidRPr="00CC6E6A">
        <w:rPr>
          <w:rFonts w:ascii="Book Antiqua" w:hAnsi="Book Antiqua" w:cs="Times New Roman"/>
          <w:sz w:val="22"/>
          <w:szCs w:val="22"/>
        </w:rPr>
        <w:t>athletic trainers who have</w:t>
      </w:r>
      <w:r w:rsidR="00914446" w:rsidRPr="00CC6E6A">
        <w:rPr>
          <w:rFonts w:ascii="Book Antiqua" w:hAnsi="Book Antiqua" w:cs="Times New Roman"/>
          <w:sz w:val="22"/>
          <w:szCs w:val="22"/>
        </w:rPr>
        <w:t xml:space="preserve"> “</w:t>
      </w:r>
      <w:r w:rsidR="00946274" w:rsidRPr="00CC6E6A">
        <w:rPr>
          <w:rFonts w:ascii="Book Antiqua" w:hAnsi="Book Antiqua"/>
          <w:sz w:val="22"/>
          <w:szCs w:val="22"/>
        </w:rPr>
        <w:t>successfully completed four academic years of pre-professional and professional study in a specialized curriculum accredited by the Commission on Accreditation of Allied Health Education Programs and who are certified by the Board of Certification of the National Athletic Trainers Association Board of Certification generally meet the duties requirements for the learned professional exemption.</w:t>
      </w:r>
      <w:r w:rsidR="00B62385" w:rsidRPr="00CC6E6A">
        <w:rPr>
          <w:rFonts w:ascii="Book Antiqua" w:hAnsi="Book Antiqua"/>
          <w:sz w:val="22"/>
          <w:szCs w:val="22"/>
        </w:rPr>
        <w:t>”</w:t>
      </w:r>
      <w:r w:rsidR="00B91CD3" w:rsidRPr="00CC6E6A">
        <w:rPr>
          <w:rFonts w:ascii="Book Antiqua" w:hAnsi="Book Antiqua" w:cs="Times New Roman"/>
          <w:sz w:val="22"/>
          <w:szCs w:val="22"/>
        </w:rPr>
        <w:t xml:space="preserve"> </w:t>
      </w:r>
    </w:p>
    <w:p w14:paraId="79FDE2D5" w14:textId="77777777" w:rsidR="000559D9" w:rsidRPr="00CC6E6A" w:rsidRDefault="000559D9" w:rsidP="000559D9">
      <w:pPr>
        <w:pStyle w:val="NoSpacing"/>
        <w:ind w:left="720"/>
        <w:jc w:val="both"/>
        <w:rPr>
          <w:rFonts w:ascii="Book Antiqua" w:hAnsi="Book Antiqua" w:cs="Times New Roman"/>
          <w:sz w:val="22"/>
          <w:szCs w:val="22"/>
        </w:rPr>
      </w:pPr>
    </w:p>
    <w:p w14:paraId="1BF40BE1" w14:textId="77777777" w:rsidR="003A3A46" w:rsidRPr="00CC6E6A" w:rsidRDefault="006D73F5" w:rsidP="003A3A46">
      <w:pPr>
        <w:pStyle w:val="NoSpacing"/>
        <w:jc w:val="center"/>
        <w:rPr>
          <w:rFonts w:ascii="Book Antiqua" w:hAnsi="Book Antiqua" w:cs="Times New Roman"/>
          <w:sz w:val="22"/>
          <w:szCs w:val="22"/>
        </w:rPr>
      </w:pPr>
      <w:r w:rsidRPr="00CC6E6A">
        <w:rPr>
          <w:rFonts w:ascii="Book Antiqua" w:hAnsi="Book Antiqua" w:cs="Times New Roman"/>
          <w:b/>
          <w:bCs/>
          <w:sz w:val="22"/>
          <w:szCs w:val="22"/>
        </w:rPr>
        <w:t xml:space="preserve">Background </w:t>
      </w:r>
      <w:r w:rsidR="00CF6B55" w:rsidRPr="00CC6E6A">
        <w:rPr>
          <w:rFonts w:ascii="Book Antiqua" w:hAnsi="Book Antiqua" w:cs="Times New Roman"/>
          <w:b/>
          <w:bCs/>
          <w:sz w:val="22"/>
          <w:szCs w:val="22"/>
        </w:rPr>
        <w:t xml:space="preserve">and Timeline </w:t>
      </w:r>
      <w:r w:rsidR="00287A2C" w:rsidRPr="00CC6E6A">
        <w:rPr>
          <w:rFonts w:ascii="Book Antiqua" w:hAnsi="Book Antiqua" w:cs="Times New Roman"/>
          <w:b/>
          <w:bCs/>
          <w:sz w:val="22"/>
          <w:szCs w:val="22"/>
        </w:rPr>
        <w:t>on</w:t>
      </w:r>
      <w:r w:rsidRPr="00CC6E6A">
        <w:rPr>
          <w:rFonts w:ascii="Book Antiqua" w:hAnsi="Book Antiqua" w:cs="Times New Roman"/>
          <w:b/>
          <w:bCs/>
          <w:sz w:val="22"/>
          <w:szCs w:val="22"/>
        </w:rPr>
        <w:t xml:space="preserve"> </w:t>
      </w:r>
      <w:r w:rsidR="00CF6B55" w:rsidRPr="00CC6E6A">
        <w:rPr>
          <w:rFonts w:ascii="Book Antiqua" w:hAnsi="Book Antiqua" w:cs="Times New Roman"/>
          <w:b/>
          <w:bCs/>
          <w:sz w:val="22"/>
          <w:szCs w:val="22"/>
        </w:rPr>
        <w:t xml:space="preserve">Overtime </w:t>
      </w:r>
      <w:r w:rsidR="00287A2C" w:rsidRPr="00CC6E6A">
        <w:rPr>
          <w:rFonts w:ascii="Book Antiqua" w:hAnsi="Book Antiqua" w:cs="Times New Roman"/>
          <w:b/>
          <w:bCs/>
          <w:sz w:val="22"/>
          <w:szCs w:val="22"/>
        </w:rPr>
        <w:t xml:space="preserve">and Minimum Wage </w:t>
      </w:r>
      <w:r w:rsidRPr="00CC6E6A">
        <w:rPr>
          <w:rFonts w:ascii="Book Antiqua" w:hAnsi="Book Antiqua" w:cs="Times New Roman"/>
          <w:b/>
          <w:bCs/>
          <w:sz w:val="22"/>
          <w:szCs w:val="22"/>
        </w:rPr>
        <w:t>Regulation</w:t>
      </w:r>
      <w:r w:rsidR="00287A2C" w:rsidRPr="00CC6E6A">
        <w:rPr>
          <w:rFonts w:ascii="Book Antiqua" w:hAnsi="Book Antiqua" w:cs="Times New Roman"/>
          <w:b/>
          <w:bCs/>
          <w:sz w:val="22"/>
          <w:szCs w:val="22"/>
        </w:rPr>
        <w:t>s</w:t>
      </w:r>
    </w:p>
    <w:p w14:paraId="7C786C02" w14:textId="77777777" w:rsidR="003A3A46" w:rsidRPr="00CC6E6A" w:rsidRDefault="003A3A46" w:rsidP="003A3A46">
      <w:pPr>
        <w:rPr>
          <w:rFonts w:ascii="Book Antiqua" w:hAnsi="Book Antiqua" w:cs="Times New Roman"/>
          <w:sz w:val="22"/>
          <w:szCs w:val="22"/>
        </w:rPr>
      </w:pPr>
      <w:r w:rsidRPr="00CC6E6A">
        <w:rPr>
          <w:rFonts w:ascii="Book Antiqua" w:hAnsi="Book Antiqua" w:cs="Times New Roman"/>
          <w:sz w:val="22"/>
          <w:szCs w:val="22"/>
        </w:rPr>
        <w:tab/>
      </w:r>
    </w:p>
    <w:p w14:paraId="32D48E8D" w14:textId="77777777" w:rsidR="003A3A46" w:rsidRPr="00CC6E6A" w:rsidRDefault="003A3A46" w:rsidP="007C67E0">
      <w:pPr>
        <w:pStyle w:val="ListParagraph"/>
        <w:numPr>
          <w:ilvl w:val="0"/>
          <w:numId w:val="7"/>
        </w:numPr>
        <w:spacing w:after="120"/>
        <w:contextualSpacing w:val="0"/>
        <w:jc w:val="both"/>
        <w:rPr>
          <w:rFonts w:ascii="Book Antiqua" w:hAnsi="Book Antiqua" w:cs="Times New Roman"/>
          <w:sz w:val="22"/>
          <w:szCs w:val="22"/>
        </w:rPr>
      </w:pPr>
      <w:r w:rsidRPr="00CC6E6A">
        <w:rPr>
          <w:rFonts w:ascii="Book Antiqua" w:hAnsi="Book Antiqua" w:cs="Times New Roman"/>
          <w:sz w:val="22"/>
          <w:szCs w:val="22"/>
        </w:rPr>
        <w:t xml:space="preserve">March 13, 2014, President Obama signed a Presidential Memorandum directing the </w:t>
      </w:r>
      <w:r w:rsidR="003C031D" w:rsidRPr="00CC6E6A">
        <w:rPr>
          <w:rFonts w:ascii="Book Antiqua" w:hAnsi="Book Antiqua" w:cs="Times New Roman"/>
          <w:sz w:val="22"/>
          <w:szCs w:val="22"/>
        </w:rPr>
        <w:t>DOL</w:t>
      </w:r>
      <w:r w:rsidRPr="00CC6E6A">
        <w:rPr>
          <w:rFonts w:ascii="Book Antiqua" w:hAnsi="Book Antiqua" w:cs="Times New Roman"/>
          <w:sz w:val="22"/>
          <w:szCs w:val="22"/>
        </w:rPr>
        <w:t xml:space="preserve"> to update the regulations defining which white-collar workers are exempt from the Fair Labor Standards Act’s (FLSA) minimum wage and overtime requirements. The FLSA establishes minimum wage, overtime pay, recordkeeping, and youth employment standards affecting employees in the private sector and in Federal, State, and local governments. </w:t>
      </w:r>
    </w:p>
    <w:p w14:paraId="1F6D7A96" w14:textId="60DAB0CD" w:rsidR="00255075" w:rsidRPr="00CC6E6A" w:rsidRDefault="003A3A46" w:rsidP="007C67E0">
      <w:pPr>
        <w:pStyle w:val="ListParagraph"/>
        <w:numPr>
          <w:ilvl w:val="0"/>
          <w:numId w:val="7"/>
        </w:numPr>
        <w:spacing w:after="120"/>
        <w:contextualSpacing w:val="0"/>
        <w:jc w:val="both"/>
        <w:rPr>
          <w:rFonts w:ascii="Book Antiqua" w:hAnsi="Book Antiqua" w:cs="Times New Roman"/>
          <w:color w:val="FF0000"/>
          <w:sz w:val="22"/>
          <w:szCs w:val="22"/>
        </w:rPr>
      </w:pPr>
      <w:r w:rsidRPr="00CC6E6A">
        <w:rPr>
          <w:rFonts w:ascii="Book Antiqua" w:hAnsi="Book Antiqua" w:cs="Times New Roman"/>
          <w:sz w:val="22"/>
          <w:szCs w:val="22"/>
        </w:rPr>
        <w:t xml:space="preserve">July 6, 2015, the DOL issued a Notice of Proposed Rulemaking (NPRM) – </w:t>
      </w:r>
      <w:hyperlink r:id="rId10" w:history="1">
        <w:r w:rsidRPr="00CC6E6A">
          <w:rPr>
            <w:rStyle w:val="Hyperlink"/>
            <w:rFonts w:ascii="Book Antiqua" w:hAnsi="Book Antiqua" w:cs="Times New Roman"/>
            <w:i/>
            <w:sz w:val="22"/>
            <w:szCs w:val="22"/>
          </w:rPr>
          <w:t>Defining and Delimiting the Exemptions for Executive, Administrative, Professional, Outside Sales, and Computer Employees</w:t>
        </w:r>
      </w:hyperlink>
      <w:r w:rsidRPr="00CC6E6A">
        <w:rPr>
          <w:rFonts w:ascii="Book Antiqua" w:hAnsi="Book Antiqua" w:cs="Times New Roman"/>
          <w:sz w:val="22"/>
          <w:szCs w:val="22"/>
        </w:rPr>
        <w:t xml:space="preserve"> (80 Fed. Reg. 38515, July 6, 2015). The DOL proposed to update and revise the regulations issued under the FLSA implementing the exemption from minimum wage and overtime pay for executive, administrative, professional, outside sales, and computer employees. To be considered exempt, employees </w:t>
      </w:r>
      <w:r w:rsidR="001354EB" w:rsidRPr="00CC6E6A">
        <w:rPr>
          <w:rFonts w:ascii="Book Antiqua" w:hAnsi="Book Antiqua" w:cs="Times New Roman"/>
          <w:sz w:val="22"/>
          <w:szCs w:val="22"/>
        </w:rPr>
        <w:t>would need to</w:t>
      </w:r>
      <w:r w:rsidRPr="00CC6E6A">
        <w:rPr>
          <w:rFonts w:ascii="Book Antiqua" w:hAnsi="Book Antiqua" w:cs="Times New Roman"/>
          <w:sz w:val="22"/>
          <w:szCs w:val="22"/>
        </w:rPr>
        <w:t xml:space="preserve"> meet certain minimum tests related to their primary job duties and be paid on a salary basis at not less than a specified minimum amount. The standard salary level required for exemption </w:t>
      </w:r>
      <w:r w:rsidR="001354EB" w:rsidRPr="00CC6E6A">
        <w:rPr>
          <w:rFonts w:ascii="Book Antiqua" w:hAnsi="Book Antiqua" w:cs="Times New Roman"/>
          <w:sz w:val="22"/>
          <w:szCs w:val="22"/>
        </w:rPr>
        <w:t>would be</w:t>
      </w:r>
      <w:r w:rsidRPr="00CC6E6A">
        <w:rPr>
          <w:rFonts w:ascii="Book Antiqua" w:hAnsi="Book Antiqua" w:cs="Times New Roman"/>
          <w:sz w:val="22"/>
          <w:szCs w:val="22"/>
        </w:rPr>
        <w:t xml:space="preserve"> $455 a week ($23,660 for a full-year worker). </w:t>
      </w:r>
      <w:r w:rsidR="00255075" w:rsidRPr="00CC6E6A">
        <w:rPr>
          <w:rFonts w:ascii="Book Antiqua" w:hAnsi="Book Antiqua" w:cs="Times New Roman"/>
          <w:sz w:val="22"/>
          <w:szCs w:val="22"/>
        </w:rPr>
        <w:t>T</w:t>
      </w:r>
      <w:r w:rsidRPr="00CC6E6A">
        <w:rPr>
          <w:rFonts w:ascii="Book Antiqua" w:hAnsi="Book Antiqua" w:cs="Times New Roman"/>
          <w:bCs/>
          <w:sz w:val="22"/>
          <w:szCs w:val="22"/>
        </w:rPr>
        <w:t>he DOL proposed to</w:t>
      </w:r>
      <w:r w:rsidRPr="00CC6E6A">
        <w:rPr>
          <w:rFonts w:ascii="Book Antiqua" w:hAnsi="Book Antiqua" w:cs="Times New Roman"/>
          <w:sz w:val="22"/>
          <w:szCs w:val="22"/>
        </w:rPr>
        <w:t xml:space="preserve"> raise the salary threshold under which white-collar workers and highly compensated employees </w:t>
      </w:r>
      <w:r w:rsidR="008E0D14" w:rsidRPr="00CC6E6A">
        <w:rPr>
          <w:rFonts w:ascii="Book Antiqua" w:hAnsi="Book Antiqua" w:cs="Times New Roman"/>
          <w:sz w:val="22"/>
          <w:szCs w:val="22"/>
        </w:rPr>
        <w:t>were</w:t>
      </w:r>
      <w:r w:rsidRPr="00CC6E6A">
        <w:rPr>
          <w:rFonts w:ascii="Book Antiqua" w:hAnsi="Book Antiqua" w:cs="Times New Roman"/>
          <w:sz w:val="22"/>
          <w:szCs w:val="22"/>
        </w:rPr>
        <w:t xml:space="preserve"> exempt from FLSA overtime pay requirements</w:t>
      </w:r>
      <w:r w:rsidR="00BF437E" w:rsidRPr="00CC6E6A">
        <w:rPr>
          <w:rFonts w:ascii="Book Antiqua" w:hAnsi="Book Antiqua" w:cs="Times New Roman"/>
          <w:sz w:val="22"/>
          <w:szCs w:val="22"/>
        </w:rPr>
        <w:t xml:space="preserve"> to </w:t>
      </w:r>
      <w:r w:rsidR="00A57215" w:rsidRPr="00CC6E6A">
        <w:rPr>
          <w:rFonts w:ascii="Book Antiqua" w:hAnsi="Book Antiqua" w:cs="Times New Roman"/>
          <w:sz w:val="22"/>
          <w:szCs w:val="22"/>
        </w:rPr>
        <w:t>$913 a week (</w:t>
      </w:r>
      <w:r w:rsidR="00287A2C" w:rsidRPr="00CC6E6A">
        <w:rPr>
          <w:rFonts w:ascii="Book Antiqua" w:hAnsi="Book Antiqua" w:cs="Times New Roman"/>
          <w:sz w:val="22"/>
          <w:szCs w:val="22"/>
        </w:rPr>
        <w:t>$47,</w:t>
      </w:r>
      <w:r w:rsidR="00BF437E" w:rsidRPr="00CC6E6A">
        <w:rPr>
          <w:rFonts w:ascii="Book Antiqua" w:hAnsi="Book Antiqua" w:cs="Times New Roman"/>
          <w:sz w:val="22"/>
          <w:szCs w:val="22"/>
        </w:rPr>
        <w:t>476</w:t>
      </w:r>
      <w:r w:rsidR="00A57215" w:rsidRPr="00CC6E6A">
        <w:rPr>
          <w:rFonts w:ascii="Book Antiqua" w:hAnsi="Book Antiqua" w:cs="Times New Roman"/>
          <w:sz w:val="22"/>
          <w:szCs w:val="22"/>
        </w:rPr>
        <w:t xml:space="preserve"> annually)</w:t>
      </w:r>
      <w:r w:rsidRPr="00CC6E6A">
        <w:rPr>
          <w:rFonts w:ascii="Book Antiqua" w:hAnsi="Book Antiqua" w:cs="Times New Roman"/>
          <w:sz w:val="22"/>
          <w:szCs w:val="22"/>
        </w:rPr>
        <w:t xml:space="preserve">. </w:t>
      </w:r>
    </w:p>
    <w:p w14:paraId="46048B48" w14:textId="77777777" w:rsidR="00F56121" w:rsidRPr="00CC6E6A" w:rsidRDefault="004235FF" w:rsidP="007C67E0">
      <w:pPr>
        <w:pStyle w:val="ListParagraph"/>
        <w:numPr>
          <w:ilvl w:val="0"/>
          <w:numId w:val="7"/>
        </w:numPr>
        <w:spacing w:after="120"/>
        <w:contextualSpacing w:val="0"/>
        <w:jc w:val="both"/>
        <w:rPr>
          <w:rFonts w:ascii="Book Antiqua" w:hAnsi="Book Antiqua" w:cs="Times New Roman"/>
          <w:sz w:val="22"/>
          <w:szCs w:val="22"/>
        </w:rPr>
      </w:pPr>
      <w:r w:rsidRPr="00CC6E6A">
        <w:rPr>
          <w:rFonts w:ascii="Book Antiqua" w:hAnsi="Book Antiqua" w:cs="Times New Roman"/>
          <w:sz w:val="22"/>
          <w:szCs w:val="22"/>
        </w:rPr>
        <w:t>May 23, 2016 a</w:t>
      </w:r>
      <w:r w:rsidR="003A3A46" w:rsidRPr="00CC6E6A">
        <w:rPr>
          <w:rFonts w:ascii="Book Antiqua" w:hAnsi="Book Antiqua" w:cs="Times New Roman"/>
          <w:sz w:val="22"/>
          <w:szCs w:val="22"/>
        </w:rPr>
        <w:t xml:space="preserve"> </w:t>
      </w:r>
      <w:hyperlink r:id="rId11" w:history="1">
        <w:r w:rsidR="003A3A46" w:rsidRPr="00CC6E6A">
          <w:rPr>
            <w:rStyle w:val="Hyperlink"/>
            <w:rFonts w:ascii="Book Antiqua" w:hAnsi="Book Antiqua" w:cs="Times New Roman"/>
            <w:sz w:val="22"/>
            <w:szCs w:val="22"/>
          </w:rPr>
          <w:t>Final Ru</w:t>
        </w:r>
        <w:r w:rsidR="00EB552C" w:rsidRPr="00CC6E6A">
          <w:rPr>
            <w:rStyle w:val="Hyperlink"/>
            <w:rFonts w:ascii="Book Antiqua" w:hAnsi="Book Antiqua" w:cs="Times New Roman"/>
            <w:sz w:val="22"/>
            <w:szCs w:val="22"/>
          </w:rPr>
          <w:t>le</w:t>
        </w:r>
      </w:hyperlink>
      <w:r w:rsidR="00EB552C" w:rsidRPr="00CC6E6A">
        <w:rPr>
          <w:rFonts w:ascii="Book Antiqua" w:hAnsi="Book Antiqua" w:cs="Times New Roman"/>
          <w:sz w:val="22"/>
          <w:szCs w:val="22"/>
        </w:rPr>
        <w:t xml:space="preserve"> </w:t>
      </w:r>
      <w:r w:rsidR="0049397F" w:rsidRPr="00CC6E6A">
        <w:rPr>
          <w:rFonts w:ascii="Book Antiqua" w:hAnsi="Book Antiqua" w:cs="Times New Roman"/>
          <w:sz w:val="22"/>
          <w:szCs w:val="22"/>
        </w:rPr>
        <w:t>was</w:t>
      </w:r>
      <w:r w:rsidR="00EB552C" w:rsidRPr="00CC6E6A">
        <w:rPr>
          <w:rFonts w:ascii="Book Antiqua" w:hAnsi="Book Antiqua" w:cs="Times New Roman"/>
          <w:sz w:val="22"/>
          <w:szCs w:val="22"/>
        </w:rPr>
        <w:t xml:space="preserve"> published in the </w:t>
      </w:r>
      <w:r w:rsidR="00EB552C" w:rsidRPr="00CC6E6A">
        <w:rPr>
          <w:rFonts w:ascii="Book Antiqua" w:hAnsi="Book Antiqua" w:cs="Times New Roman"/>
          <w:i/>
          <w:iCs/>
          <w:sz w:val="22"/>
          <w:szCs w:val="22"/>
        </w:rPr>
        <w:t>Federal Register</w:t>
      </w:r>
      <w:r w:rsidR="00EB552C" w:rsidRPr="00CC6E6A">
        <w:rPr>
          <w:rFonts w:ascii="Book Antiqua" w:hAnsi="Book Antiqua" w:cs="Times New Roman"/>
          <w:sz w:val="22"/>
          <w:szCs w:val="22"/>
        </w:rPr>
        <w:t xml:space="preserve"> </w:t>
      </w:r>
      <w:r w:rsidR="008B7326" w:rsidRPr="00CC6E6A">
        <w:rPr>
          <w:rFonts w:ascii="Book Antiqua" w:hAnsi="Book Antiqua" w:cs="Times New Roman"/>
          <w:sz w:val="22"/>
          <w:szCs w:val="22"/>
        </w:rPr>
        <w:t xml:space="preserve">and </w:t>
      </w:r>
      <w:r w:rsidR="0049397F" w:rsidRPr="00CC6E6A">
        <w:rPr>
          <w:rFonts w:ascii="Book Antiqua" w:hAnsi="Book Antiqua" w:cs="Times New Roman"/>
          <w:sz w:val="22"/>
          <w:szCs w:val="22"/>
        </w:rPr>
        <w:t>was scheduled to</w:t>
      </w:r>
      <w:r w:rsidR="008B7326" w:rsidRPr="00CC6E6A">
        <w:rPr>
          <w:rFonts w:ascii="Book Antiqua" w:hAnsi="Book Antiqua" w:cs="Times New Roman"/>
          <w:sz w:val="22"/>
          <w:szCs w:val="22"/>
        </w:rPr>
        <w:t xml:space="preserve"> take effect</w:t>
      </w:r>
      <w:r w:rsidR="00EB552C" w:rsidRPr="00CC6E6A">
        <w:rPr>
          <w:rFonts w:ascii="Book Antiqua" w:hAnsi="Book Antiqua" w:cs="Times New Roman"/>
          <w:sz w:val="22"/>
          <w:szCs w:val="22"/>
        </w:rPr>
        <w:t xml:space="preserve"> on </w:t>
      </w:r>
      <w:r w:rsidR="003A3A46" w:rsidRPr="00CC6E6A">
        <w:rPr>
          <w:rFonts w:ascii="Book Antiqua" w:hAnsi="Book Antiqua" w:cs="Times New Roman"/>
          <w:sz w:val="22"/>
          <w:szCs w:val="22"/>
        </w:rPr>
        <w:t xml:space="preserve">December 1, 2016. </w:t>
      </w:r>
      <w:r w:rsidR="00255075" w:rsidRPr="00CC6E6A">
        <w:rPr>
          <w:rFonts w:ascii="Book Antiqua" w:hAnsi="Book Antiqua" w:cs="Times New Roman"/>
          <w:bCs/>
          <w:sz w:val="22"/>
          <w:szCs w:val="22"/>
        </w:rPr>
        <w:t>DOL estimated</w:t>
      </w:r>
      <w:r w:rsidR="008762C1" w:rsidRPr="00CC6E6A">
        <w:rPr>
          <w:rFonts w:ascii="Book Antiqua" w:hAnsi="Book Antiqua" w:cs="Times New Roman"/>
          <w:bCs/>
          <w:sz w:val="22"/>
          <w:szCs w:val="22"/>
        </w:rPr>
        <w:t xml:space="preserve"> that this change </w:t>
      </w:r>
      <w:r w:rsidR="001A07C1" w:rsidRPr="00CC6E6A">
        <w:rPr>
          <w:rFonts w:ascii="Book Antiqua" w:hAnsi="Book Antiqua" w:cs="Times New Roman"/>
          <w:bCs/>
          <w:sz w:val="22"/>
          <w:szCs w:val="22"/>
        </w:rPr>
        <w:t>would</w:t>
      </w:r>
      <w:r w:rsidR="008762C1" w:rsidRPr="00CC6E6A">
        <w:rPr>
          <w:rFonts w:ascii="Book Antiqua" w:hAnsi="Book Antiqua" w:cs="Times New Roman"/>
          <w:bCs/>
          <w:sz w:val="22"/>
          <w:szCs w:val="22"/>
        </w:rPr>
        <w:t xml:space="preserve"> make 4.2 million currently exempt workers eligible for overtime pay, assuming employers do not change employees’ salaries and/or relevant duties in order to avoid exemption.</w:t>
      </w:r>
      <w:r w:rsidR="008762C1" w:rsidRPr="00CC6E6A">
        <w:rPr>
          <w:rFonts w:ascii="Book Antiqua" w:hAnsi="Book Antiqua" w:cs="Times New Roman"/>
          <w:sz w:val="22"/>
          <w:szCs w:val="22"/>
        </w:rPr>
        <w:t xml:space="preserve"> </w:t>
      </w:r>
    </w:p>
    <w:p w14:paraId="37602B3D" w14:textId="57ED8079" w:rsidR="001A1A6D" w:rsidRPr="00CC6E6A" w:rsidRDefault="00F56E40" w:rsidP="007C67E0">
      <w:pPr>
        <w:pStyle w:val="ListParagraph"/>
        <w:numPr>
          <w:ilvl w:val="0"/>
          <w:numId w:val="7"/>
        </w:numPr>
        <w:spacing w:after="120"/>
        <w:contextualSpacing w:val="0"/>
        <w:jc w:val="both"/>
        <w:rPr>
          <w:rFonts w:ascii="Book Antiqua" w:hAnsi="Book Antiqua" w:cs="Times New Roman"/>
          <w:sz w:val="22"/>
          <w:szCs w:val="22"/>
        </w:rPr>
      </w:pPr>
      <w:r w:rsidRPr="00CC6E6A">
        <w:rPr>
          <w:rFonts w:ascii="Book Antiqua" w:hAnsi="Book Antiqua" w:cs="Times New Roman"/>
          <w:sz w:val="22"/>
          <w:szCs w:val="22"/>
        </w:rPr>
        <w:t xml:space="preserve">On August 31, 2017, the court </w:t>
      </w:r>
      <w:r w:rsidR="00B52C27">
        <w:rPr>
          <w:rFonts w:ascii="Book Antiqua" w:hAnsi="Book Antiqua" w:cs="Times New Roman"/>
          <w:sz w:val="22"/>
          <w:szCs w:val="22"/>
        </w:rPr>
        <w:t xml:space="preserve">in </w:t>
      </w:r>
      <w:r w:rsidR="00B52C27" w:rsidRPr="00B52C27">
        <w:rPr>
          <w:rFonts w:ascii="Book Antiqua" w:hAnsi="Book Antiqua" w:cs="Times New Roman"/>
          <w:i/>
          <w:iCs/>
          <w:sz w:val="22"/>
          <w:szCs w:val="22"/>
        </w:rPr>
        <w:t xml:space="preserve">Nevada v. U.S. </w:t>
      </w:r>
      <w:proofErr w:type="spellStart"/>
      <w:r w:rsidR="00B52C27" w:rsidRPr="00B52C27">
        <w:rPr>
          <w:rFonts w:ascii="Book Antiqua" w:hAnsi="Book Antiqua" w:cs="Times New Roman"/>
          <w:i/>
          <w:iCs/>
          <w:sz w:val="22"/>
          <w:szCs w:val="22"/>
        </w:rPr>
        <w:t>Dep't</w:t>
      </w:r>
      <w:proofErr w:type="spellEnd"/>
      <w:r w:rsidR="00B52C27" w:rsidRPr="00B52C27">
        <w:rPr>
          <w:rFonts w:ascii="Book Antiqua" w:hAnsi="Book Antiqua" w:cs="Times New Roman"/>
          <w:i/>
          <w:iCs/>
          <w:sz w:val="22"/>
          <w:szCs w:val="22"/>
        </w:rPr>
        <w:t xml:space="preserve"> of Labor,</w:t>
      </w:r>
      <w:r w:rsidR="00B52C27" w:rsidRPr="00B52C27">
        <w:rPr>
          <w:rFonts w:ascii="Book Antiqua" w:hAnsi="Book Antiqua" w:cs="Times New Roman"/>
          <w:sz w:val="22"/>
          <w:szCs w:val="22"/>
        </w:rPr>
        <w:t xml:space="preserve"> 275 F. Supp. 3d 795, 806 (E.D. Tex. 2017)</w:t>
      </w:r>
      <w:r w:rsidR="00B52C27">
        <w:rPr>
          <w:rFonts w:ascii="Book Antiqua" w:hAnsi="Book Antiqua" w:cs="Times New Roman"/>
          <w:sz w:val="22"/>
          <w:szCs w:val="22"/>
        </w:rPr>
        <w:t xml:space="preserve"> </w:t>
      </w:r>
      <w:r w:rsidRPr="00CC6E6A">
        <w:rPr>
          <w:rFonts w:ascii="Book Antiqua" w:hAnsi="Book Antiqua" w:cs="Times New Roman"/>
          <w:sz w:val="22"/>
          <w:szCs w:val="22"/>
        </w:rPr>
        <w:t xml:space="preserve">granted summary judgment against the DOL, invalidating the 2016 final rule because it “makes overtime status depend predominately on a minimum salary level, thereby supplanting an analysis of an employee's job duties.” </w:t>
      </w:r>
      <w:r w:rsidR="001A1D67" w:rsidRPr="00CC6E6A">
        <w:rPr>
          <w:rFonts w:ascii="Book Antiqua" w:hAnsi="Book Antiqua" w:cs="Times New Roman"/>
          <w:sz w:val="22"/>
          <w:szCs w:val="22"/>
        </w:rPr>
        <w:t xml:space="preserve">The DOL </w:t>
      </w:r>
      <w:r w:rsidR="00680E3B" w:rsidRPr="00CC6E6A">
        <w:rPr>
          <w:rFonts w:ascii="Book Antiqua" w:hAnsi="Book Antiqua" w:cs="Times New Roman"/>
          <w:sz w:val="22"/>
          <w:szCs w:val="22"/>
        </w:rPr>
        <w:t xml:space="preserve">then reverted to enforcing the 2004 salary levels. </w:t>
      </w:r>
    </w:p>
    <w:p w14:paraId="43A8CA10" w14:textId="6A0CEB18" w:rsidR="004235FF" w:rsidRPr="00CC6E6A" w:rsidRDefault="00292D12" w:rsidP="007C67E0">
      <w:pPr>
        <w:pStyle w:val="ListParagraph"/>
        <w:numPr>
          <w:ilvl w:val="0"/>
          <w:numId w:val="10"/>
        </w:numPr>
        <w:spacing w:after="120"/>
        <w:contextualSpacing w:val="0"/>
        <w:jc w:val="both"/>
        <w:rPr>
          <w:rFonts w:ascii="Book Antiqua" w:hAnsi="Book Antiqua" w:cs="Times New Roman"/>
          <w:sz w:val="22"/>
          <w:szCs w:val="22"/>
        </w:rPr>
      </w:pPr>
      <w:r w:rsidRPr="00CC6E6A">
        <w:rPr>
          <w:rFonts w:ascii="Book Antiqua" w:hAnsi="Book Antiqua" w:cs="Times New Roman"/>
          <w:sz w:val="22"/>
          <w:szCs w:val="22"/>
        </w:rPr>
        <w:lastRenderedPageBreak/>
        <w:t>April 20, 2018, the DOL under the Trump Administration issued its f</w:t>
      </w:r>
      <w:r w:rsidR="000931ED" w:rsidRPr="00CC6E6A">
        <w:rPr>
          <w:rFonts w:ascii="Book Antiqua" w:hAnsi="Book Antiqua" w:cs="Times New Roman"/>
          <w:sz w:val="22"/>
          <w:szCs w:val="22"/>
        </w:rPr>
        <w:t>irst wage and hour opinion</w:t>
      </w:r>
      <w:r w:rsidR="0053692D" w:rsidRPr="00CC6E6A">
        <w:rPr>
          <w:rFonts w:ascii="Book Antiqua" w:hAnsi="Book Antiqua" w:cs="Times New Roman"/>
          <w:sz w:val="22"/>
          <w:szCs w:val="22"/>
        </w:rPr>
        <w:t xml:space="preserve"> letters </w:t>
      </w:r>
      <w:r w:rsidRPr="00CC6E6A">
        <w:rPr>
          <w:rFonts w:ascii="Book Antiqua" w:hAnsi="Book Antiqua" w:cs="Times New Roman"/>
          <w:sz w:val="22"/>
          <w:szCs w:val="22"/>
        </w:rPr>
        <w:t>and a fact sheet stating that new rulemaking</w:t>
      </w:r>
      <w:r w:rsidR="008E0D14" w:rsidRPr="00CC6E6A">
        <w:rPr>
          <w:rFonts w:ascii="Book Antiqua" w:hAnsi="Book Antiqua" w:cs="Times New Roman"/>
          <w:sz w:val="22"/>
          <w:szCs w:val="22"/>
        </w:rPr>
        <w:t xml:space="preserve"> was</w:t>
      </w:r>
      <w:r w:rsidR="00760E4D" w:rsidRPr="00CC6E6A">
        <w:rPr>
          <w:rFonts w:ascii="Book Antiqua" w:hAnsi="Book Antiqua" w:cs="Times New Roman"/>
          <w:sz w:val="22"/>
          <w:szCs w:val="22"/>
        </w:rPr>
        <w:t xml:space="preserve"> imminent to revise current </w:t>
      </w:r>
      <w:r w:rsidRPr="00CC6E6A">
        <w:rPr>
          <w:rFonts w:ascii="Book Antiqua" w:hAnsi="Book Antiqua" w:cs="Times New Roman"/>
          <w:sz w:val="22"/>
          <w:szCs w:val="22"/>
        </w:rPr>
        <w:t xml:space="preserve">regulations located at 29 </w:t>
      </w:r>
      <w:r w:rsidR="00203F0C">
        <w:rPr>
          <w:rFonts w:ascii="Book Antiqua" w:hAnsi="Book Antiqua" w:cs="Times New Roman"/>
          <w:sz w:val="22"/>
          <w:szCs w:val="22"/>
        </w:rPr>
        <w:t>CFR Part</w:t>
      </w:r>
      <w:r w:rsidRPr="00CC6E6A">
        <w:rPr>
          <w:rFonts w:ascii="Book Antiqua" w:hAnsi="Book Antiqua" w:cs="Times New Roman"/>
          <w:sz w:val="22"/>
          <w:szCs w:val="22"/>
        </w:rPr>
        <w:t xml:space="preserve"> 541, governing the exemption of executive, administrative, and professional employees from FLSA minimum wage and overtime pay requirements.</w:t>
      </w:r>
    </w:p>
    <w:p w14:paraId="3D5C98F6" w14:textId="77777777" w:rsidR="00287A2C" w:rsidRPr="00CC6E6A" w:rsidRDefault="004235FF" w:rsidP="007C67E0">
      <w:pPr>
        <w:pStyle w:val="PlainText"/>
        <w:numPr>
          <w:ilvl w:val="0"/>
          <w:numId w:val="10"/>
        </w:numPr>
        <w:spacing w:after="120"/>
        <w:jc w:val="both"/>
        <w:rPr>
          <w:rFonts w:ascii="Book Antiqua" w:hAnsi="Book Antiqua"/>
        </w:rPr>
      </w:pPr>
      <w:r w:rsidRPr="00CC6E6A">
        <w:rPr>
          <w:rFonts w:ascii="Book Antiqua" w:hAnsi="Book Antiqua" w:cs="Times New Roman"/>
        </w:rPr>
        <w:t xml:space="preserve">March 22, 2019, the DOL issued </w:t>
      </w:r>
      <w:r w:rsidR="000931ED" w:rsidRPr="00CC6E6A">
        <w:rPr>
          <w:rFonts w:ascii="Book Antiqua" w:hAnsi="Book Antiqua"/>
        </w:rPr>
        <w:t xml:space="preserve">a proposed rule </w:t>
      </w:r>
      <w:r w:rsidR="00CB558D" w:rsidRPr="00CC6E6A">
        <w:rPr>
          <w:rFonts w:ascii="Book Antiqua" w:hAnsi="Book Antiqua"/>
        </w:rPr>
        <w:t>to update the salary and compensation levels needed for workers to be exempt beginning in 2020.</w:t>
      </w:r>
      <w:r w:rsidR="006D10D0" w:rsidRPr="00CC6E6A">
        <w:rPr>
          <w:rFonts w:ascii="Book Antiqua" w:hAnsi="Book Antiqua"/>
        </w:rPr>
        <w:t xml:space="preserve">  </w:t>
      </w:r>
    </w:p>
    <w:p w14:paraId="2BEF0815" w14:textId="31C7F1DB" w:rsidR="008E0D14" w:rsidRDefault="004379DF" w:rsidP="007C67E0">
      <w:pPr>
        <w:pStyle w:val="PlainText"/>
        <w:numPr>
          <w:ilvl w:val="0"/>
          <w:numId w:val="10"/>
        </w:numPr>
        <w:spacing w:after="120"/>
        <w:jc w:val="both"/>
        <w:rPr>
          <w:rFonts w:ascii="Book Antiqua" w:hAnsi="Book Antiqua"/>
        </w:rPr>
      </w:pPr>
      <w:r w:rsidRPr="00CC6E6A">
        <w:rPr>
          <w:rFonts w:ascii="Book Antiqua" w:hAnsi="Book Antiqua"/>
        </w:rPr>
        <w:t>September 27, 2019, the DOL finalized its proposed rule to update the salary and compensation levels</w:t>
      </w:r>
      <w:r w:rsidR="00A523CA" w:rsidRPr="00CC6E6A">
        <w:rPr>
          <w:rFonts w:ascii="Book Antiqua" w:hAnsi="Book Antiqua"/>
        </w:rPr>
        <w:t xml:space="preserve">. </w:t>
      </w:r>
    </w:p>
    <w:p w14:paraId="12C7677E" w14:textId="4256A8F8" w:rsidR="005B7CB4" w:rsidRDefault="005B7CB4" w:rsidP="007C67E0">
      <w:pPr>
        <w:pStyle w:val="PlainText"/>
        <w:numPr>
          <w:ilvl w:val="0"/>
          <w:numId w:val="10"/>
        </w:numPr>
        <w:spacing w:after="120"/>
        <w:jc w:val="both"/>
        <w:rPr>
          <w:rFonts w:ascii="Book Antiqua" w:hAnsi="Book Antiqua"/>
        </w:rPr>
      </w:pPr>
      <w:r>
        <w:rPr>
          <w:rFonts w:ascii="Book Antiqua" w:hAnsi="Book Antiqua"/>
        </w:rPr>
        <w:t>August 30, 2023, the DOL issued a proposed rule to update the salary and compensation levels needed for workers to be exempt</w:t>
      </w:r>
      <w:r w:rsidR="008B4C13">
        <w:rPr>
          <w:rFonts w:ascii="Book Antiqua" w:hAnsi="Book Antiqua"/>
        </w:rPr>
        <w:t xml:space="preserve"> and to update the earning thresholds automatically every three years. </w:t>
      </w:r>
    </w:p>
    <w:p w14:paraId="0C68FBB5" w14:textId="41811106" w:rsidR="008B4C13" w:rsidRPr="00CC6E6A" w:rsidRDefault="004F1F7B" w:rsidP="007C67E0">
      <w:pPr>
        <w:pStyle w:val="PlainText"/>
        <w:numPr>
          <w:ilvl w:val="0"/>
          <w:numId w:val="10"/>
        </w:numPr>
        <w:spacing w:after="120"/>
        <w:jc w:val="both"/>
        <w:rPr>
          <w:rFonts w:ascii="Book Antiqua" w:hAnsi="Book Antiqua"/>
        </w:rPr>
      </w:pPr>
      <w:r>
        <w:rPr>
          <w:rFonts w:ascii="Book Antiqua" w:hAnsi="Book Antiqua"/>
        </w:rPr>
        <w:t>April 23, 2024, the DOL finalized its proposed rule</w:t>
      </w:r>
      <w:r w:rsidR="00F66F29">
        <w:rPr>
          <w:rFonts w:ascii="Book Antiqua" w:hAnsi="Book Antiqua"/>
        </w:rPr>
        <w:t xml:space="preserve">, which will </w:t>
      </w:r>
      <w:r w:rsidR="00A93875">
        <w:rPr>
          <w:rFonts w:ascii="Book Antiqua" w:hAnsi="Book Antiqua"/>
        </w:rPr>
        <w:t xml:space="preserve">take effect </w:t>
      </w:r>
      <w:r w:rsidR="007C3F7F">
        <w:rPr>
          <w:rFonts w:ascii="Book Antiqua" w:hAnsi="Book Antiqua"/>
        </w:rPr>
        <w:t xml:space="preserve">initially on July 1, </w:t>
      </w:r>
      <w:r w:rsidR="00F45F77">
        <w:rPr>
          <w:rFonts w:ascii="Book Antiqua" w:hAnsi="Book Antiqua"/>
        </w:rPr>
        <w:t>2024,</w:t>
      </w:r>
      <w:r w:rsidR="007C3F7F">
        <w:rPr>
          <w:rFonts w:ascii="Book Antiqua" w:hAnsi="Book Antiqua"/>
        </w:rPr>
        <w:t xml:space="preserve"> with a regular update under the 2019 methodology then </w:t>
      </w:r>
      <w:r w:rsidR="00744B40">
        <w:rPr>
          <w:rFonts w:ascii="Book Antiqua" w:hAnsi="Book Antiqua"/>
        </w:rPr>
        <w:t xml:space="preserve">on January 1, 2025 under the new methodology for determining salary and compensation levels needed to be exempt. Thresholds will update every three years based on current wage data. </w:t>
      </w:r>
    </w:p>
    <w:sectPr w:rsidR="008B4C13" w:rsidRPr="00CC6E6A" w:rsidSect="00841C35">
      <w:footerReference w:type="default" r:id="rId12"/>
      <w:headerReference w:type="first" r:id="rId13"/>
      <w:footerReference w:type="first" r:id="rId14"/>
      <w:type w:val="continuous"/>
      <w:pgSz w:w="12240" w:h="15840" w:code="1"/>
      <w:pgMar w:top="990" w:right="900" w:bottom="1440" w:left="99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807EA" w14:textId="77777777" w:rsidR="00065872" w:rsidRDefault="00065872" w:rsidP="00DB6FED">
      <w:r>
        <w:separator/>
      </w:r>
    </w:p>
  </w:endnote>
  <w:endnote w:type="continuationSeparator" w:id="0">
    <w:p w14:paraId="49C99B71" w14:textId="77777777" w:rsidR="00065872" w:rsidRDefault="00065872"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00CD7" w14:textId="77777777" w:rsidR="00841C35" w:rsidRDefault="00841C35" w:rsidP="00841C35">
    <w:pPr>
      <w:pStyle w:val="Footer"/>
      <w:jc w:val="center"/>
    </w:pPr>
    <w:r>
      <w:rPr>
        <w:rFonts w:ascii="Garamond" w:hAnsi="Garamond"/>
        <w:sz w:val="22"/>
        <w:szCs w:val="22"/>
      </w:rPr>
      <w:t xml:space="preserve">For more information, please contact </w:t>
    </w:r>
    <w:r w:rsidRPr="00C02572">
      <w:rPr>
        <w:rFonts w:ascii="Garamond" w:hAnsi="Garamond"/>
        <w:sz w:val="22"/>
        <w:szCs w:val="22"/>
      </w:rPr>
      <w:t xml:space="preserve">Amy Callender, Director of Government Affairs for NATA, at (972) 532-8853 or </w:t>
    </w:r>
    <w:hyperlink r:id="rId1" w:history="1">
      <w:r w:rsidRPr="00C02572">
        <w:rPr>
          <w:rStyle w:val="Hyperlink"/>
          <w:rFonts w:ascii="Garamond" w:hAnsi="Garamond"/>
          <w:sz w:val="22"/>
          <w:szCs w:val="22"/>
        </w:rPr>
        <w:t>amyc@nata.org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56386" w14:textId="77777777" w:rsidR="00065872" w:rsidRPr="00C02572" w:rsidRDefault="00065872" w:rsidP="00D92206">
    <w:pPr>
      <w:pStyle w:val="Footer"/>
      <w:tabs>
        <w:tab w:val="clear" w:pos="9360"/>
        <w:tab w:val="right" w:pos="9540"/>
      </w:tabs>
      <w:jc w:val="center"/>
      <w:rPr>
        <w:rFonts w:ascii="Garamond" w:hAnsi="Garamond"/>
        <w:sz w:val="22"/>
        <w:szCs w:val="22"/>
      </w:rPr>
    </w:pPr>
    <w:r>
      <w:rPr>
        <w:rFonts w:ascii="Garamond" w:hAnsi="Garamond"/>
        <w:sz w:val="22"/>
        <w:szCs w:val="22"/>
      </w:rPr>
      <w:t xml:space="preserve">For more information, please contact </w:t>
    </w:r>
    <w:r w:rsidRPr="00C02572">
      <w:rPr>
        <w:rFonts w:ascii="Garamond" w:hAnsi="Garamond"/>
        <w:sz w:val="22"/>
        <w:szCs w:val="22"/>
      </w:rPr>
      <w:t xml:space="preserve">Amy Callender, Director of Government Affairs for NATA, at (972) 532-8853 or </w:t>
    </w:r>
    <w:hyperlink r:id="rId1" w:history="1">
      <w:r w:rsidRPr="00C02572">
        <w:rPr>
          <w:rStyle w:val="Hyperlink"/>
          <w:rFonts w:ascii="Garamond" w:hAnsi="Garamond"/>
          <w:sz w:val="22"/>
          <w:szCs w:val="22"/>
        </w:rPr>
        <w:t>amyc@nata.org</w:t>
      </w:r>
    </w:hyperlink>
    <w:r w:rsidRPr="00C02572">
      <w:rPr>
        <w:rFonts w:ascii="Garamond" w:hAnsi="Garamond"/>
        <w:sz w:val="22"/>
        <w:szCs w:val="22"/>
      </w:rPr>
      <w:t xml:space="preserve"> </w:t>
    </w:r>
  </w:p>
  <w:p w14:paraId="0367CF88" w14:textId="77777777" w:rsidR="00065872" w:rsidRPr="00C02572" w:rsidRDefault="00065872" w:rsidP="00D92206">
    <w:pPr>
      <w:pStyle w:val="Footer"/>
      <w:tabs>
        <w:tab w:val="clear" w:pos="9360"/>
        <w:tab w:val="right" w:pos="9450"/>
      </w:tabs>
      <w:spacing w:line="200" w:lineRule="exact"/>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78456" w14:textId="77777777" w:rsidR="00065872" w:rsidRDefault="00065872" w:rsidP="00DB6FED">
      <w:r>
        <w:separator/>
      </w:r>
    </w:p>
  </w:footnote>
  <w:footnote w:type="continuationSeparator" w:id="0">
    <w:p w14:paraId="2AFFEF8A" w14:textId="77777777" w:rsidR="00065872" w:rsidRDefault="00065872"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5219A" w14:textId="77777777" w:rsidR="00065872" w:rsidRDefault="00065872" w:rsidP="003019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131B4"/>
    <w:multiLevelType w:val="hybridMultilevel"/>
    <w:tmpl w:val="7102E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20A0A"/>
    <w:multiLevelType w:val="hybridMultilevel"/>
    <w:tmpl w:val="A8EC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92269"/>
    <w:multiLevelType w:val="hybridMultilevel"/>
    <w:tmpl w:val="C2A84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4" w15:restartNumberingAfterBreak="0">
    <w:nsid w:val="3A5D388E"/>
    <w:multiLevelType w:val="hybridMultilevel"/>
    <w:tmpl w:val="02A6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6" w15:restartNumberingAfterBreak="0">
    <w:nsid w:val="593C198F"/>
    <w:multiLevelType w:val="hybridMultilevel"/>
    <w:tmpl w:val="6CEC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B2397"/>
    <w:multiLevelType w:val="hybridMultilevel"/>
    <w:tmpl w:val="299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301D8"/>
    <w:multiLevelType w:val="hybridMultilevel"/>
    <w:tmpl w:val="B05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4309"/>
    <w:multiLevelType w:val="hybridMultilevel"/>
    <w:tmpl w:val="C916E5F0"/>
    <w:lvl w:ilvl="0" w:tplc="E348C6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951DA"/>
    <w:multiLevelType w:val="hybridMultilevel"/>
    <w:tmpl w:val="E4EA8C48"/>
    <w:lvl w:ilvl="0" w:tplc="57303BE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62399">
    <w:abstractNumId w:val="7"/>
  </w:num>
  <w:num w:numId="2" w16cid:durableId="1708489527">
    <w:abstractNumId w:val="5"/>
  </w:num>
  <w:num w:numId="3" w16cid:durableId="2511057">
    <w:abstractNumId w:val="3"/>
  </w:num>
  <w:num w:numId="4" w16cid:durableId="2110007548">
    <w:abstractNumId w:val="4"/>
  </w:num>
  <w:num w:numId="5" w16cid:durableId="2046638065">
    <w:abstractNumId w:val="2"/>
  </w:num>
  <w:num w:numId="6" w16cid:durableId="1993101017">
    <w:abstractNumId w:val="8"/>
  </w:num>
  <w:num w:numId="7" w16cid:durableId="1984579827">
    <w:abstractNumId w:val="10"/>
  </w:num>
  <w:num w:numId="8" w16cid:durableId="907154203">
    <w:abstractNumId w:val="1"/>
  </w:num>
  <w:num w:numId="9" w16cid:durableId="1501700693">
    <w:abstractNumId w:val="9"/>
  </w:num>
  <w:num w:numId="10" w16cid:durableId="97021412">
    <w:abstractNumId w:val="0"/>
  </w:num>
  <w:num w:numId="11" w16cid:durableId="1759477213">
    <w:abstractNumId w:val="6"/>
  </w:num>
  <w:num w:numId="12" w16cid:durableId="709380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MPDocID" w:val="85725197.1"/>
    <w:docVar w:name="MPDocIDTemplate" w:val="%n|.%v|&lt;13&gt;%c|/%m"/>
    <w:docVar w:name="MPDocIDTemplateDefault" w:val="%n|.%v|&lt;13&gt;%c|/%m"/>
    <w:docVar w:name="NewDocStampType" w:val="7"/>
    <w:docVar w:name="zzmp10NoTrailerPromptID" w:val="ACTIVE.120983197.1"/>
    <w:docVar w:name="zzmpFixed_MacPacVersion" w:val="9.0"/>
  </w:docVars>
  <w:rsids>
    <w:rsidRoot w:val="003A3A46"/>
    <w:rsid w:val="000274C0"/>
    <w:rsid w:val="00047087"/>
    <w:rsid w:val="00055323"/>
    <w:rsid w:val="00055503"/>
    <w:rsid w:val="000559D9"/>
    <w:rsid w:val="00065872"/>
    <w:rsid w:val="0009113E"/>
    <w:rsid w:val="000931ED"/>
    <w:rsid w:val="000938BC"/>
    <w:rsid w:val="000A1F60"/>
    <w:rsid w:val="000C4384"/>
    <w:rsid w:val="000F0051"/>
    <w:rsid w:val="000F4553"/>
    <w:rsid w:val="00113507"/>
    <w:rsid w:val="00127E7A"/>
    <w:rsid w:val="00130F47"/>
    <w:rsid w:val="001354EB"/>
    <w:rsid w:val="00183BA3"/>
    <w:rsid w:val="001A07C1"/>
    <w:rsid w:val="001A1A6D"/>
    <w:rsid w:val="001A1D67"/>
    <w:rsid w:val="001D173D"/>
    <w:rsid w:val="00202388"/>
    <w:rsid w:val="00203F0C"/>
    <w:rsid w:val="00212B27"/>
    <w:rsid w:val="00245326"/>
    <w:rsid w:val="00245F41"/>
    <w:rsid w:val="00255075"/>
    <w:rsid w:val="002656E7"/>
    <w:rsid w:val="00281BE9"/>
    <w:rsid w:val="00287A2C"/>
    <w:rsid w:val="00292D12"/>
    <w:rsid w:val="002A2198"/>
    <w:rsid w:val="002A797F"/>
    <w:rsid w:val="002C2601"/>
    <w:rsid w:val="002F0939"/>
    <w:rsid w:val="002F32C8"/>
    <w:rsid w:val="002F55D4"/>
    <w:rsid w:val="003019D6"/>
    <w:rsid w:val="00313DD6"/>
    <w:rsid w:val="0037051E"/>
    <w:rsid w:val="0037482F"/>
    <w:rsid w:val="00386C67"/>
    <w:rsid w:val="003A1C27"/>
    <w:rsid w:val="003A3A46"/>
    <w:rsid w:val="003C031D"/>
    <w:rsid w:val="003C6CED"/>
    <w:rsid w:val="003F1563"/>
    <w:rsid w:val="00404C01"/>
    <w:rsid w:val="004235FF"/>
    <w:rsid w:val="0042426C"/>
    <w:rsid w:val="004379DF"/>
    <w:rsid w:val="00444064"/>
    <w:rsid w:val="0045778A"/>
    <w:rsid w:val="00460A9B"/>
    <w:rsid w:val="00462861"/>
    <w:rsid w:val="00466826"/>
    <w:rsid w:val="00466A22"/>
    <w:rsid w:val="00470CAC"/>
    <w:rsid w:val="0049397F"/>
    <w:rsid w:val="004A3956"/>
    <w:rsid w:val="004B307C"/>
    <w:rsid w:val="004C5C9A"/>
    <w:rsid w:val="004D52A0"/>
    <w:rsid w:val="004F1F7B"/>
    <w:rsid w:val="0053692D"/>
    <w:rsid w:val="00545104"/>
    <w:rsid w:val="00557DD9"/>
    <w:rsid w:val="005607DB"/>
    <w:rsid w:val="005611DF"/>
    <w:rsid w:val="00572065"/>
    <w:rsid w:val="005A0B78"/>
    <w:rsid w:val="005A4D6C"/>
    <w:rsid w:val="005B3164"/>
    <w:rsid w:val="005B399A"/>
    <w:rsid w:val="005B428F"/>
    <w:rsid w:val="005B7CB4"/>
    <w:rsid w:val="005F7CB6"/>
    <w:rsid w:val="00627C8C"/>
    <w:rsid w:val="00645E84"/>
    <w:rsid w:val="0066464D"/>
    <w:rsid w:val="00680E3B"/>
    <w:rsid w:val="006B4277"/>
    <w:rsid w:val="006D0992"/>
    <w:rsid w:val="006D10D0"/>
    <w:rsid w:val="006D73F5"/>
    <w:rsid w:val="006E2A81"/>
    <w:rsid w:val="006E68AA"/>
    <w:rsid w:val="006F7E73"/>
    <w:rsid w:val="007058F7"/>
    <w:rsid w:val="00725E41"/>
    <w:rsid w:val="00744B40"/>
    <w:rsid w:val="00760E4D"/>
    <w:rsid w:val="0076336C"/>
    <w:rsid w:val="007B26F2"/>
    <w:rsid w:val="007C3F7F"/>
    <w:rsid w:val="007C67E0"/>
    <w:rsid w:val="007D470B"/>
    <w:rsid w:val="007D5361"/>
    <w:rsid w:val="007F4677"/>
    <w:rsid w:val="0081467E"/>
    <w:rsid w:val="00815C43"/>
    <w:rsid w:val="00832B25"/>
    <w:rsid w:val="00841C35"/>
    <w:rsid w:val="008574F7"/>
    <w:rsid w:val="008762C1"/>
    <w:rsid w:val="0088207A"/>
    <w:rsid w:val="008936FB"/>
    <w:rsid w:val="008A7E05"/>
    <w:rsid w:val="008B059F"/>
    <w:rsid w:val="008B12AB"/>
    <w:rsid w:val="008B4C13"/>
    <w:rsid w:val="008B7326"/>
    <w:rsid w:val="008C73C2"/>
    <w:rsid w:val="008D3D52"/>
    <w:rsid w:val="008E0D14"/>
    <w:rsid w:val="00914446"/>
    <w:rsid w:val="00921B7B"/>
    <w:rsid w:val="00927F09"/>
    <w:rsid w:val="00933F20"/>
    <w:rsid w:val="00946274"/>
    <w:rsid w:val="0095293E"/>
    <w:rsid w:val="00974DA4"/>
    <w:rsid w:val="00976B0E"/>
    <w:rsid w:val="009A1798"/>
    <w:rsid w:val="009C0E6C"/>
    <w:rsid w:val="009D7CA0"/>
    <w:rsid w:val="009E672C"/>
    <w:rsid w:val="009E7A19"/>
    <w:rsid w:val="009F56D5"/>
    <w:rsid w:val="00A21531"/>
    <w:rsid w:val="00A523CA"/>
    <w:rsid w:val="00A57215"/>
    <w:rsid w:val="00A60867"/>
    <w:rsid w:val="00A6189D"/>
    <w:rsid w:val="00A61AB6"/>
    <w:rsid w:val="00A70116"/>
    <w:rsid w:val="00A93875"/>
    <w:rsid w:val="00AA0F23"/>
    <w:rsid w:val="00AA1FEA"/>
    <w:rsid w:val="00AA3985"/>
    <w:rsid w:val="00AC222C"/>
    <w:rsid w:val="00AC31D3"/>
    <w:rsid w:val="00AD03AE"/>
    <w:rsid w:val="00AF745D"/>
    <w:rsid w:val="00B249D0"/>
    <w:rsid w:val="00B37057"/>
    <w:rsid w:val="00B43D30"/>
    <w:rsid w:val="00B52C27"/>
    <w:rsid w:val="00B62385"/>
    <w:rsid w:val="00B829F7"/>
    <w:rsid w:val="00B834DD"/>
    <w:rsid w:val="00B91CD3"/>
    <w:rsid w:val="00BA5090"/>
    <w:rsid w:val="00BB22BA"/>
    <w:rsid w:val="00BC6E2A"/>
    <w:rsid w:val="00BD7888"/>
    <w:rsid w:val="00BF437E"/>
    <w:rsid w:val="00C2519E"/>
    <w:rsid w:val="00C33125"/>
    <w:rsid w:val="00C33E17"/>
    <w:rsid w:val="00C40DFA"/>
    <w:rsid w:val="00C41680"/>
    <w:rsid w:val="00C44141"/>
    <w:rsid w:val="00C50110"/>
    <w:rsid w:val="00C83335"/>
    <w:rsid w:val="00C9528D"/>
    <w:rsid w:val="00CA2068"/>
    <w:rsid w:val="00CB558D"/>
    <w:rsid w:val="00CC4CB2"/>
    <w:rsid w:val="00CC6E6A"/>
    <w:rsid w:val="00CD4D54"/>
    <w:rsid w:val="00CF6B55"/>
    <w:rsid w:val="00D13E41"/>
    <w:rsid w:val="00D175D8"/>
    <w:rsid w:val="00D17F67"/>
    <w:rsid w:val="00D31731"/>
    <w:rsid w:val="00D43BC5"/>
    <w:rsid w:val="00D43CAF"/>
    <w:rsid w:val="00D45B40"/>
    <w:rsid w:val="00D61315"/>
    <w:rsid w:val="00D75E2D"/>
    <w:rsid w:val="00D80563"/>
    <w:rsid w:val="00D84A3B"/>
    <w:rsid w:val="00D92206"/>
    <w:rsid w:val="00DA2F73"/>
    <w:rsid w:val="00DB04BD"/>
    <w:rsid w:val="00DB6FED"/>
    <w:rsid w:val="00DF022B"/>
    <w:rsid w:val="00DF72C4"/>
    <w:rsid w:val="00E03015"/>
    <w:rsid w:val="00E0470B"/>
    <w:rsid w:val="00E236C8"/>
    <w:rsid w:val="00E27D8E"/>
    <w:rsid w:val="00E346E1"/>
    <w:rsid w:val="00E37C9F"/>
    <w:rsid w:val="00E42039"/>
    <w:rsid w:val="00E454D6"/>
    <w:rsid w:val="00E50F8B"/>
    <w:rsid w:val="00E54D50"/>
    <w:rsid w:val="00E866CB"/>
    <w:rsid w:val="00E95BB1"/>
    <w:rsid w:val="00EB552C"/>
    <w:rsid w:val="00EC5CDF"/>
    <w:rsid w:val="00ED3C18"/>
    <w:rsid w:val="00EE4BA0"/>
    <w:rsid w:val="00EE5BC6"/>
    <w:rsid w:val="00EF6AF8"/>
    <w:rsid w:val="00F0584C"/>
    <w:rsid w:val="00F16881"/>
    <w:rsid w:val="00F32632"/>
    <w:rsid w:val="00F45F77"/>
    <w:rsid w:val="00F511E3"/>
    <w:rsid w:val="00F5547C"/>
    <w:rsid w:val="00F557EB"/>
    <w:rsid w:val="00F56121"/>
    <w:rsid w:val="00F56E40"/>
    <w:rsid w:val="00F66F29"/>
    <w:rsid w:val="00F8126E"/>
    <w:rsid w:val="00F84138"/>
    <w:rsid w:val="00F92740"/>
    <w:rsid w:val="00FC6B39"/>
    <w:rsid w:val="00FE1285"/>
    <w:rsid w:val="00FE1407"/>
    <w:rsid w:val="00FF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36D88C"/>
  <w15:docId w15:val="{5E3290CA-AC24-48CF-84A6-2C35C359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NoSpacing">
    <w:name w:val="No Spacing"/>
    <w:uiPriority w:val="1"/>
    <w:qFormat/>
    <w:rsid w:val="003A3A46"/>
  </w:style>
  <w:style w:type="character" w:styleId="Hyperlink">
    <w:name w:val="Hyperlink"/>
    <w:basedOn w:val="DefaultParagraphFont"/>
    <w:uiPriority w:val="99"/>
    <w:unhideWhenUsed/>
    <w:rsid w:val="003A3A46"/>
    <w:rPr>
      <w:color w:val="0000FF" w:themeColor="hyperlink"/>
      <w:u w:val="single"/>
    </w:rPr>
  </w:style>
  <w:style w:type="paragraph" w:styleId="BalloonText">
    <w:name w:val="Balloon Text"/>
    <w:basedOn w:val="Normal"/>
    <w:link w:val="BalloonTextChar"/>
    <w:uiPriority w:val="99"/>
    <w:semiHidden/>
    <w:unhideWhenUsed/>
    <w:rsid w:val="003A3A46"/>
    <w:rPr>
      <w:rFonts w:ascii="Tahoma" w:hAnsi="Tahoma" w:cs="Tahoma"/>
      <w:sz w:val="16"/>
      <w:szCs w:val="16"/>
    </w:rPr>
  </w:style>
  <w:style w:type="character" w:customStyle="1" w:styleId="BalloonTextChar">
    <w:name w:val="Balloon Text Char"/>
    <w:basedOn w:val="DefaultParagraphFont"/>
    <w:link w:val="BalloonText"/>
    <w:uiPriority w:val="99"/>
    <w:semiHidden/>
    <w:rsid w:val="003A3A46"/>
    <w:rPr>
      <w:rFonts w:ascii="Tahoma" w:hAnsi="Tahoma" w:cs="Tahoma"/>
      <w:sz w:val="16"/>
      <w:szCs w:val="16"/>
    </w:rPr>
  </w:style>
  <w:style w:type="character" w:styleId="FollowedHyperlink">
    <w:name w:val="FollowedHyperlink"/>
    <w:basedOn w:val="DefaultParagraphFont"/>
    <w:uiPriority w:val="99"/>
    <w:semiHidden/>
    <w:unhideWhenUsed/>
    <w:rsid w:val="00EE5BC6"/>
    <w:rPr>
      <w:color w:val="800080" w:themeColor="followedHyperlink"/>
      <w:u w:val="single"/>
    </w:rPr>
  </w:style>
  <w:style w:type="paragraph" w:styleId="ListParagraph">
    <w:name w:val="List Paragraph"/>
    <w:basedOn w:val="Normal"/>
    <w:uiPriority w:val="34"/>
    <w:qFormat/>
    <w:rsid w:val="00BB22BA"/>
    <w:pPr>
      <w:ind w:left="720"/>
      <w:contextualSpacing/>
    </w:pPr>
  </w:style>
  <w:style w:type="paragraph" w:styleId="NormalWeb">
    <w:name w:val="Normal (Web)"/>
    <w:basedOn w:val="Normal"/>
    <w:uiPriority w:val="99"/>
    <w:unhideWhenUsed/>
    <w:rsid w:val="006F7E73"/>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37482F"/>
    <w:rPr>
      <w:sz w:val="20"/>
      <w:szCs w:val="20"/>
    </w:rPr>
  </w:style>
  <w:style w:type="character" w:customStyle="1" w:styleId="FootnoteTextChar">
    <w:name w:val="Footnote Text Char"/>
    <w:basedOn w:val="DefaultParagraphFont"/>
    <w:link w:val="FootnoteText"/>
    <w:uiPriority w:val="99"/>
    <w:semiHidden/>
    <w:rsid w:val="0037482F"/>
    <w:rPr>
      <w:sz w:val="20"/>
      <w:szCs w:val="20"/>
    </w:rPr>
  </w:style>
  <w:style w:type="character" w:styleId="FootnoteReference">
    <w:name w:val="footnote reference"/>
    <w:basedOn w:val="DefaultParagraphFont"/>
    <w:uiPriority w:val="99"/>
    <w:semiHidden/>
    <w:unhideWhenUsed/>
    <w:rsid w:val="0037482F"/>
    <w:rPr>
      <w:vertAlign w:val="superscript"/>
    </w:rPr>
  </w:style>
  <w:style w:type="paragraph" w:styleId="PlainText">
    <w:name w:val="Plain Text"/>
    <w:basedOn w:val="Normal"/>
    <w:link w:val="PlainTextChar"/>
    <w:uiPriority w:val="99"/>
    <w:unhideWhenUsed/>
    <w:rsid w:val="000931ED"/>
    <w:rPr>
      <w:rFonts w:ascii="Calibri" w:hAnsi="Calibri" w:cs="Calibri"/>
      <w:sz w:val="22"/>
      <w:szCs w:val="22"/>
    </w:rPr>
  </w:style>
  <w:style w:type="character" w:customStyle="1" w:styleId="PlainTextChar">
    <w:name w:val="Plain Text Char"/>
    <w:basedOn w:val="DefaultParagraphFont"/>
    <w:link w:val="PlainText"/>
    <w:uiPriority w:val="99"/>
    <w:rsid w:val="000931ED"/>
    <w:rPr>
      <w:rFonts w:ascii="Calibri" w:hAnsi="Calibri" w:cs="Calibri"/>
      <w:sz w:val="22"/>
      <w:szCs w:val="22"/>
    </w:rPr>
  </w:style>
  <w:style w:type="character" w:styleId="UnresolvedMention">
    <w:name w:val="Unresolved Mention"/>
    <w:basedOn w:val="DefaultParagraphFont"/>
    <w:uiPriority w:val="99"/>
    <w:semiHidden/>
    <w:unhideWhenUsed/>
    <w:rsid w:val="00E27D8E"/>
    <w:rPr>
      <w:color w:val="605E5C"/>
      <w:shd w:val="clear" w:color="auto" w:fill="E1DFDD"/>
    </w:rPr>
  </w:style>
  <w:style w:type="paragraph" w:styleId="Revision">
    <w:name w:val="Revision"/>
    <w:hidden/>
    <w:uiPriority w:val="99"/>
    <w:semiHidden/>
    <w:rsid w:val="007F4677"/>
  </w:style>
  <w:style w:type="character" w:styleId="CommentReference">
    <w:name w:val="annotation reference"/>
    <w:basedOn w:val="DefaultParagraphFont"/>
    <w:uiPriority w:val="99"/>
    <w:semiHidden/>
    <w:unhideWhenUsed/>
    <w:rsid w:val="008D3D52"/>
    <w:rPr>
      <w:sz w:val="16"/>
      <w:szCs w:val="16"/>
    </w:rPr>
  </w:style>
  <w:style w:type="paragraph" w:styleId="CommentText">
    <w:name w:val="annotation text"/>
    <w:basedOn w:val="Normal"/>
    <w:link w:val="CommentTextChar"/>
    <w:uiPriority w:val="99"/>
    <w:semiHidden/>
    <w:unhideWhenUsed/>
    <w:rsid w:val="008D3D52"/>
    <w:rPr>
      <w:sz w:val="20"/>
      <w:szCs w:val="20"/>
    </w:rPr>
  </w:style>
  <w:style w:type="character" w:customStyle="1" w:styleId="CommentTextChar">
    <w:name w:val="Comment Text Char"/>
    <w:basedOn w:val="DefaultParagraphFont"/>
    <w:link w:val="CommentText"/>
    <w:uiPriority w:val="99"/>
    <w:semiHidden/>
    <w:rsid w:val="008D3D52"/>
    <w:rPr>
      <w:sz w:val="20"/>
      <w:szCs w:val="20"/>
    </w:rPr>
  </w:style>
  <w:style w:type="paragraph" w:styleId="CommentSubject">
    <w:name w:val="annotation subject"/>
    <w:basedOn w:val="CommentText"/>
    <w:next w:val="CommentText"/>
    <w:link w:val="CommentSubjectChar"/>
    <w:uiPriority w:val="99"/>
    <w:semiHidden/>
    <w:unhideWhenUsed/>
    <w:rsid w:val="008D3D52"/>
    <w:rPr>
      <w:b/>
      <w:bCs/>
    </w:rPr>
  </w:style>
  <w:style w:type="character" w:customStyle="1" w:styleId="CommentSubjectChar">
    <w:name w:val="Comment Subject Char"/>
    <w:basedOn w:val="CommentTextChar"/>
    <w:link w:val="CommentSubject"/>
    <w:uiPriority w:val="99"/>
    <w:semiHidden/>
    <w:rsid w:val="008D3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372015">
      <w:bodyDiv w:val="1"/>
      <w:marLeft w:val="0"/>
      <w:marRight w:val="0"/>
      <w:marTop w:val="0"/>
      <w:marBottom w:val="0"/>
      <w:divBdr>
        <w:top w:val="none" w:sz="0" w:space="0" w:color="auto"/>
        <w:left w:val="none" w:sz="0" w:space="0" w:color="auto"/>
        <w:bottom w:val="none" w:sz="0" w:space="0" w:color="auto"/>
        <w:right w:val="none" w:sz="0" w:space="0" w:color="auto"/>
      </w:divBdr>
    </w:div>
    <w:div w:id="787965005">
      <w:bodyDiv w:val="1"/>
      <w:marLeft w:val="0"/>
      <w:marRight w:val="0"/>
      <w:marTop w:val="0"/>
      <w:marBottom w:val="0"/>
      <w:divBdr>
        <w:top w:val="none" w:sz="0" w:space="0" w:color="auto"/>
        <w:left w:val="none" w:sz="0" w:space="0" w:color="auto"/>
        <w:bottom w:val="none" w:sz="0" w:space="0" w:color="auto"/>
        <w:right w:val="none" w:sz="0" w:space="0" w:color="auto"/>
      </w:divBdr>
    </w:div>
    <w:div w:id="1049958378">
      <w:bodyDiv w:val="1"/>
      <w:marLeft w:val="0"/>
      <w:marRight w:val="0"/>
      <w:marTop w:val="0"/>
      <w:marBottom w:val="0"/>
      <w:divBdr>
        <w:top w:val="none" w:sz="0" w:space="0" w:color="auto"/>
        <w:left w:val="none" w:sz="0" w:space="0" w:color="auto"/>
        <w:bottom w:val="none" w:sz="0" w:space="0" w:color="auto"/>
        <w:right w:val="none" w:sz="0" w:space="0" w:color="auto"/>
      </w:divBdr>
    </w:div>
    <w:div w:id="1546257970">
      <w:bodyDiv w:val="1"/>
      <w:marLeft w:val="0"/>
      <w:marRight w:val="0"/>
      <w:marTop w:val="0"/>
      <w:marBottom w:val="0"/>
      <w:divBdr>
        <w:top w:val="none" w:sz="0" w:space="0" w:color="auto"/>
        <w:left w:val="none" w:sz="0" w:space="0" w:color="auto"/>
        <w:bottom w:val="none" w:sz="0" w:space="0" w:color="auto"/>
        <w:right w:val="none" w:sz="0" w:space="0" w:color="auto"/>
      </w:divBdr>
      <w:divsChild>
        <w:div w:id="1255478419">
          <w:marLeft w:val="0"/>
          <w:marRight w:val="0"/>
          <w:marTop w:val="0"/>
          <w:marBottom w:val="0"/>
          <w:divBdr>
            <w:top w:val="none" w:sz="0" w:space="0" w:color="auto"/>
            <w:left w:val="none" w:sz="0" w:space="0" w:color="auto"/>
            <w:bottom w:val="none" w:sz="0" w:space="0" w:color="auto"/>
            <w:right w:val="none" w:sz="0" w:space="0" w:color="auto"/>
          </w:divBdr>
          <w:divsChild>
            <w:div w:id="1004937607">
              <w:marLeft w:val="0"/>
              <w:marRight w:val="0"/>
              <w:marTop w:val="0"/>
              <w:marBottom w:val="0"/>
              <w:divBdr>
                <w:top w:val="none" w:sz="0" w:space="0" w:color="auto"/>
                <w:left w:val="none" w:sz="0" w:space="0" w:color="auto"/>
                <w:bottom w:val="none" w:sz="0" w:space="0" w:color="auto"/>
                <w:right w:val="none" w:sz="0" w:space="0" w:color="auto"/>
              </w:divBdr>
              <w:divsChild>
                <w:div w:id="1986620618">
                  <w:marLeft w:val="0"/>
                  <w:marRight w:val="0"/>
                  <w:marTop w:val="0"/>
                  <w:marBottom w:val="0"/>
                  <w:divBdr>
                    <w:top w:val="none" w:sz="0" w:space="0" w:color="auto"/>
                    <w:left w:val="none" w:sz="0" w:space="0" w:color="auto"/>
                    <w:bottom w:val="none" w:sz="0" w:space="0" w:color="auto"/>
                    <w:right w:val="none" w:sz="0" w:space="0" w:color="auto"/>
                  </w:divBdr>
                  <w:divsChild>
                    <w:div w:id="429931050">
                      <w:marLeft w:val="0"/>
                      <w:marRight w:val="0"/>
                      <w:marTop w:val="0"/>
                      <w:marBottom w:val="0"/>
                      <w:divBdr>
                        <w:top w:val="none" w:sz="0" w:space="0" w:color="auto"/>
                        <w:left w:val="none" w:sz="0" w:space="0" w:color="auto"/>
                        <w:bottom w:val="none" w:sz="0" w:space="0" w:color="auto"/>
                        <w:right w:val="none" w:sz="0" w:space="0" w:color="auto"/>
                      </w:divBdr>
                      <w:divsChild>
                        <w:div w:id="258372160">
                          <w:marLeft w:val="0"/>
                          <w:marRight w:val="0"/>
                          <w:marTop w:val="0"/>
                          <w:marBottom w:val="0"/>
                          <w:divBdr>
                            <w:top w:val="none" w:sz="0" w:space="0" w:color="auto"/>
                            <w:left w:val="none" w:sz="0" w:space="0" w:color="auto"/>
                            <w:bottom w:val="none" w:sz="0" w:space="0" w:color="auto"/>
                            <w:right w:val="none" w:sz="0" w:space="0" w:color="auto"/>
                          </w:divBdr>
                          <w:divsChild>
                            <w:div w:id="1930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276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3">
          <w:marLeft w:val="0"/>
          <w:marRight w:val="0"/>
          <w:marTop w:val="0"/>
          <w:marBottom w:val="0"/>
          <w:divBdr>
            <w:top w:val="none" w:sz="0" w:space="0" w:color="auto"/>
            <w:left w:val="none" w:sz="0" w:space="0" w:color="auto"/>
            <w:bottom w:val="none" w:sz="0" w:space="0" w:color="auto"/>
            <w:right w:val="none" w:sz="0" w:space="0" w:color="auto"/>
          </w:divBdr>
          <w:divsChild>
            <w:div w:id="2056536015">
              <w:marLeft w:val="0"/>
              <w:marRight w:val="0"/>
              <w:marTop w:val="0"/>
              <w:marBottom w:val="0"/>
              <w:divBdr>
                <w:top w:val="none" w:sz="0" w:space="0" w:color="auto"/>
                <w:left w:val="none" w:sz="0" w:space="0" w:color="auto"/>
                <w:bottom w:val="none" w:sz="0" w:space="0" w:color="auto"/>
                <w:right w:val="none" w:sz="0" w:space="0" w:color="auto"/>
              </w:divBdr>
              <w:divsChild>
                <w:div w:id="1115902014">
                  <w:marLeft w:val="0"/>
                  <w:marRight w:val="0"/>
                  <w:marTop w:val="0"/>
                  <w:marBottom w:val="0"/>
                  <w:divBdr>
                    <w:top w:val="none" w:sz="0" w:space="0" w:color="auto"/>
                    <w:left w:val="none" w:sz="0" w:space="0" w:color="auto"/>
                    <w:bottom w:val="none" w:sz="0" w:space="0" w:color="auto"/>
                    <w:right w:val="none" w:sz="0" w:space="0" w:color="auto"/>
                  </w:divBdr>
                  <w:divsChild>
                    <w:div w:id="551159910">
                      <w:marLeft w:val="0"/>
                      <w:marRight w:val="0"/>
                      <w:marTop w:val="0"/>
                      <w:marBottom w:val="0"/>
                      <w:divBdr>
                        <w:top w:val="none" w:sz="0" w:space="0" w:color="auto"/>
                        <w:left w:val="none" w:sz="0" w:space="0" w:color="auto"/>
                        <w:bottom w:val="none" w:sz="0" w:space="0" w:color="auto"/>
                        <w:right w:val="none" w:sz="0" w:space="0" w:color="auto"/>
                      </w:divBdr>
                      <w:divsChild>
                        <w:div w:id="918909243">
                          <w:marLeft w:val="0"/>
                          <w:marRight w:val="0"/>
                          <w:marTop w:val="0"/>
                          <w:marBottom w:val="0"/>
                          <w:divBdr>
                            <w:top w:val="none" w:sz="0" w:space="0" w:color="auto"/>
                            <w:left w:val="none" w:sz="0" w:space="0" w:color="auto"/>
                            <w:bottom w:val="none" w:sz="0" w:space="0" w:color="auto"/>
                            <w:right w:val="none" w:sz="0" w:space="0" w:color="auto"/>
                          </w:divBdr>
                          <w:divsChild>
                            <w:div w:id="9597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public-inspection.federalregister.gov/2016-1175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po.gov/fdsys/pkg/FR-2015-07-06/pdf/2015-15464.pdf" TargetMode="External"/><Relationship Id="rId4" Type="http://schemas.openxmlformats.org/officeDocument/2006/relationships/settings" Target="settings.xml"/><Relationship Id="rId9" Type="http://schemas.openxmlformats.org/officeDocument/2006/relationships/hyperlink" Target="https://public-inspection.federalregister.gov/2024-08038.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myc@n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myc@n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EA43-0404-4F7E-8B0A-4BF8C67C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Beckmann, Tricia A.</dc:creator>
  <cp:lastModifiedBy>Beth Sitzler</cp:lastModifiedBy>
  <cp:revision>2</cp:revision>
  <dcterms:created xsi:type="dcterms:W3CDTF">2024-05-06T20:17:00Z</dcterms:created>
  <dcterms:modified xsi:type="dcterms:W3CDTF">2024-05-06T20:17:00Z</dcterms:modified>
</cp:coreProperties>
</file>